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80F2" w14:textId="79FBB1D0" w:rsidR="00460BA1" w:rsidRDefault="0033799D" w:rsidP="00460BA1">
      <w:pPr>
        <w:pStyle w:val="a8"/>
        <w:spacing w:line="440" w:lineRule="exact"/>
        <w:jc w:val="center"/>
        <w:rPr>
          <w:bCs/>
          <w:sz w:val="36"/>
          <w:szCs w:val="36"/>
        </w:rPr>
      </w:pPr>
      <w:bookmarkStart w:id="0" w:name="_Hlk114557258"/>
      <w:r>
        <w:rPr>
          <w:rFonts w:hint="eastAsia"/>
          <w:bCs/>
          <w:sz w:val="36"/>
          <w:szCs w:val="36"/>
        </w:rPr>
        <w:t>金华市婺城区</w:t>
      </w:r>
      <w:r w:rsidR="00460BA1">
        <w:rPr>
          <w:rFonts w:hint="eastAsia"/>
          <w:bCs/>
          <w:sz w:val="36"/>
          <w:szCs w:val="36"/>
        </w:rPr>
        <w:t>人民医院改</w:t>
      </w:r>
      <w:r w:rsidR="00C6581F">
        <w:rPr>
          <w:rFonts w:hint="eastAsia"/>
          <w:bCs/>
          <w:sz w:val="36"/>
          <w:szCs w:val="36"/>
        </w:rPr>
        <w:t>扩</w:t>
      </w:r>
      <w:r w:rsidR="00460BA1">
        <w:rPr>
          <w:rFonts w:hint="eastAsia"/>
          <w:bCs/>
          <w:sz w:val="36"/>
          <w:szCs w:val="36"/>
        </w:rPr>
        <w:t>建工程区块</w:t>
      </w:r>
      <w:r>
        <w:rPr>
          <w:rFonts w:hint="eastAsia"/>
          <w:bCs/>
          <w:sz w:val="36"/>
          <w:szCs w:val="36"/>
        </w:rPr>
        <w:t>普通</w:t>
      </w:r>
      <w:r>
        <w:rPr>
          <w:bCs/>
          <w:sz w:val="36"/>
          <w:szCs w:val="36"/>
        </w:rPr>
        <w:t>建筑用</w:t>
      </w:r>
      <w:bookmarkEnd w:id="0"/>
    </w:p>
    <w:p w14:paraId="68E024A4" w14:textId="54EFFFD5" w:rsidR="00890730" w:rsidRDefault="0033799D">
      <w:pPr>
        <w:pStyle w:val="a8"/>
        <w:spacing w:line="440" w:lineRule="exact"/>
        <w:jc w:val="center"/>
        <w:rPr>
          <w:color w:val="000000" w:themeColor="text1"/>
          <w:sz w:val="36"/>
          <w:szCs w:val="36"/>
        </w:rPr>
      </w:pPr>
      <w:r>
        <w:rPr>
          <w:bCs/>
          <w:sz w:val="36"/>
          <w:szCs w:val="36"/>
        </w:rPr>
        <w:t>砂石矿</w:t>
      </w:r>
      <w:r>
        <w:rPr>
          <w:rFonts w:hint="eastAsia"/>
          <w:color w:val="000000" w:themeColor="text1"/>
          <w:sz w:val="36"/>
          <w:szCs w:val="36"/>
        </w:rPr>
        <w:t>开挖涉及的矿产品</w:t>
      </w:r>
    </w:p>
    <w:p w14:paraId="79EAA9CD" w14:textId="77777777" w:rsidR="00890730" w:rsidRDefault="0033799D">
      <w:pPr>
        <w:pStyle w:val="a8"/>
        <w:spacing w:line="440" w:lineRule="exact"/>
        <w:jc w:val="center"/>
        <w:rPr>
          <w:color w:val="0D0D0D" w:themeColor="text1" w:themeTint="F2"/>
        </w:rPr>
      </w:pPr>
      <w:r>
        <w:rPr>
          <w:rFonts w:hint="eastAsia"/>
          <w:b/>
          <w:bCs/>
          <w:color w:val="0D0D0D" w:themeColor="text1" w:themeTint="F2"/>
          <w:sz w:val="36"/>
          <w:szCs w:val="36"/>
        </w:rPr>
        <w:t>拍卖竞买须知</w:t>
      </w:r>
    </w:p>
    <w:p w14:paraId="3A8111D6" w14:textId="77777777" w:rsidR="00890730" w:rsidRDefault="00890730" w:rsidP="00844E2A">
      <w:pPr>
        <w:pStyle w:val="a8"/>
        <w:spacing w:beforeLines="50" w:before="156" w:beforeAutospacing="0" w:afterLines="50" w:after="156" w:afterAutospacing="0" w:line="320" w:lineRule="exact"/>
        <w:ind w:leftChars="-100" w:left="-210" w:rightChars="-100" w:right="-210"/>
        <w:rPr>
          <w:rFonts w:ascii="Arial" w:hAnsi="Arial" w:cs="Arial"/>
          <w:color w:val="000000" w:themeColor="text1"/>
        </w:rPr>
      </w:pPr>
    </w:p>
    <w:p w14:paraId="04961C08" w14:textId="77777777" w:rsidR="00890730" w:rsidRPr="000A328C" w:rsidRDefault="0033799D" w:rsidP="00844E2A">
      <w:pPr>
        <w:pStyle w:val="a8"/>
        <w:spacing w:beforeLines="50" w:before="156" w:beforeAutospacing="0" w:afterLines="50" w:after="156" w:afterAutospacing="0" w:line="320" w:lineRule="exact"/>
        <w:ind w:leftChars="-100" w:left="-210" w:rightChars="-100" w:right="-210" w:firstLineChars="100" w:firstLine="24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为规范拍卖当事人的行为，根据《中华人民共和国拍卖法》、《中华人民共和国合同法》、《拍卖管理办法》等相关法律、法规，现就本场拍卖会有关竞买事项告</w:t>
      </w:r>
      <w:r w:rsidRPr="000A328C">
        <w:rPr>
          <w:rFonts w:asciiTheme="majorEastAsia" w:eastAsiaTheme="majorEastAsia" w:hAnsiTheme="majorEastAsia" w:cs="Arial"/>
          <w:color w:val="000000" w:themeColor="text1"/>
        </w:rPr>
        <w:t>知如下：</w:t>
      </w:r>
    </w:p>
    <w:p w14:paraId="0DBE17DB" w14:textId="77777777" w:rsidR="00890730" w:rsidRDefault="0033799D" w:rsidP="00844E2A">
      <w:pPr>
        <w:pStyle w:val="a8"/>
        <w:numPr>
          <w:ilvl w:val="0"/>
          <w:numId w:val="1"/>
        </w:numPr>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拍卖标的及相关情况</w:t>
      </w:r>
    </w:p>
    <w:p w14:paraId="06D587D7" w14:textId="63D062BD" w:rsidR="00890730" w:rsidRPr="00827512" w:rsidRDefault="0033799D" w:rsidP="00827512">
      <w:pPr>
        <w:pStyle w:val="a8"/>
        <w:spacing w:beforeLines="50" w:before="156" w:beforeAutospacing="0" w:afterLines="50" w:after="156" w:afterAutospacing="0" w:line="320" w:lineRule="exact"/>
        <w:ind w:left="720" w:rightChars="-100" w:right="-210" w:hangingChars="300" w:hanging="720"/>
        <w:rPr>
          <w:rFonts w:asciiTheme="majorEastAsia" w:hAnsiTheme="majorEastAsia" w:cs="Arial"/>
          <w:color w:val="000000" w:themeColor="text1"/>
        </w:rPr>
      </w:pPr>
      <w:r>
        <w:rPr>
          <w:rStyle w:val="a9"/>
          <w:rFonts w:asciiTheme="majorEastAsia" w:eastAsiaTheme="majorEastAsia" w:hAnsiTheme="majorEastAsia" w:cs="Arial"/>
          <w:b w:val="0"/>
          <w:color w:val="000000" w:themeColor="text1"/>
        </w:rPr>
        <w:t>1.标的物及数量</w:t>
      </w:r>
      <w:r>
        <w:rPr>
          <w:rStyle w:val="a9"/>
          <w:rFonts w:asciiTheme="majorEastAsia" w:eastAsiaTheme="majorEastAsia" w:hAnsiTheme="majorEastAsia" w:cs="Arial"/>
          <w:color w:val="000000" w:themeColor="text1"/>
        </w:rPr>
        <w:t>：</w:t>
      </w:r>
      <w:bookmarkStart w:id="1" w:name="_Hlk114557373"/>
      <w:r w:rsidR="00FC1236" w:rsidRPr="00FC1236">
        <w:rPr>
          <w:rStyle w:val="a9"/>
          <w:rFonts w:asciiTheme="majorEastAsia" w:eastAsiaTheme="majorEastAsia" w:hAnsiTheme="majorEastAsia" w:cs="Arial" w:hint="eastAsia"/>
          <w:b w:val="0"/>
          <w:bCs w:val="0"/>
          <w:color w:val="000000" w:themeColor="text1"/>
        </w:rPr>
        <w:t>金华市婺城区人民医院改</w:t>
      </w:r>
      <w:r w:rsidR="00C6581F">
        <w:rPr>
          <w:rStyle w:val="a9"/>
          <w:rFonts w:asciiTheme="majorEastAsia" w:eastAsiaTheme="majorEastAsia" w:hAnsiTheme="majorEastAsia" w:cs="Arial" w:hint="eastAsia"/>
          <w:b w:val="0"/>
          <w:bCs w:val="0"/>
          <w:color w:val="000000" w:themeColor="text1"/>
        </w:rPr>
        <w:t>扩</w:t>
      </w:r>
      <w:r w:rsidR="00FC1236" w:rsidRPr="00FC1236">
        <w:rPr>
          <w:rStyle w:val="a9"/>
          <w:rFonts w:asciiTheme="majorEastAsia" w:eastAsiaTheme="majorEastAsia" w:hAnsiTheme="majorEastAsia" w:cs="Arial" w:hint="eastAsia"/>
          <w:b w:val="0"/>
          <w:bCs w:val="0"/>
          <w:color w:val="000000" w:themeColor="text1"/>
        </w:rPr>
        <w:t>建工程区块</w:t>
      </w:r>
      <w:bookmarkEnd w:id="1"/>
      <w:r w:rsidR="00FC1236" w:rsidRPr="00FC1236">
        <w:rPr>
          <w:rStyle w:val="a9"/>
          <w:rFonts w:asciiTheme="majorEastAsia" w:eastAsiaTheme="majorEastAsia" w:hAnsiTheme="majorEastAsia" w:cs="Arial" w:hint="eastAsia"/>
          <w:b w:val="0"/>
          <w:bCs w:val="0"/>
          <w:color w:val="000000" w:themeColor="text1"/>
        </w:rPr>
        <w:t>普通</w:t>
      </w:r>
      <w:r w:rsidR="00FC1236" w:rsidRPr="00FC1236">
        <w:rPr>
          <w:rStyle w:val="a9"/>
          <w:rFonts w:asciiTheme="majorEastAsia" w:eastAsiaTheme="majorEastAsia" w:hAnsiTheme="majorEastAsia" w:cs="Arial"/>
          <w:b w:val="0"/>
          <w:bCs w:val="0"/>
          <w:color w:val="000000" w:themeColor="text1"/>
        </w:rPr>
        <w:t>建筑用</w:t>
      </w:r>
      <w:r w:rsidR="00FC1236" w:rsidRPr="0033799D">
        <w:rPr>
          <w:rStyle w:val="a9"/>
          <w:rFonts w:asciiTheme="majorEastAsia" w:eastAsiaTheme="majorEastAsia" w:hAnsiTheme="majorEastAsia" w:cs="Arial" w:hint="eastAsia"/>
          <w:b w:val="0"/>
        </w:rPr>
        <w:t>砂石开挖涉及的矿产品</w:t>
      </w:r>
      <w:r w:rsidR="00B01BD7">
        <w:rPr>
          <w:rStyle w:val="a9"/>
          <w:rFonts w:asciiTheme="majorEastAsia" w:eastAsiaTheme="majorEastAsia" w:hAnsiTheme="majorEastAsia" w:cs="Arial" w:hint="eastAsia"/>
          <w:b w:val="0"/>
          <w:bCs w:val="0"/>
          <w:color w:val="000000" w:themeColor="text1"/>
        </w:rPr>
        <w:t>，</w:t>
      </w:r>
      <w:r w:rsidR="00B3457B">
        <w:rPr>
          <w:rStyle w:val="a9"/>
          <w:rFonts w:asciiTheme="majorEastAsia" w:eastAsiaTheme="majorEastAsia" w:hAnsiTheme="majorEastAsia" w:cs="Arial" w:hint="eastAsia"/>
          <w:b w:val="0"/>
          <w:bCs w:val="0"/>
          <w:color w:val="000000" w:themeColor="text1"/>
        </w:rPr>
        <w:t>砂石体重1</w:t>
      </w:r>
      <w:r w:rsidR="00B3457B">
        <w:rPr>
          <w:rStyle w:val="a9"/>
          <w:rFonts w:asciiTheme="majorEastAsia" w:eastAsiaTheme="majorEastAsia" w:hAnsiTheme="majorEastAsia" w:cs="Arial"/>
          <w:b w:val="0"/>
          <w:bCs w:val="0"/>
          <w:color w:val="000000" w:themeColor="text1"/>
        </w:rPr>
        <w:t>.7</w:t>
      </w:r>
      <w:r w:rsidR="00B3457B">
        <w:rPr>
          <w:rStyle w:val="a9"/>
          <w:rFonts w:asciiTheme="majorEastAsia" w:eastAsiaTheme="majorEastAsia" w:hAnsiTheme="majorEastAsia" w:cs="Arial" w:hint="eastAsia"/>
          <w:b w:val="0"/>
          <w:bCs w:val="0"/>
          <w:color w:val="000000" w:themeColor="text1"/>
        </w:rPr>
        <w:t>/</w:t>
      </w:r>
      <w:r w:rsidR="00B3457B">
        <w:rPr>
          <w:rStyle w:val="a9"/>
          <w:rFonts w:asciiTheme="majorEastAsia" w:eastAsiaTheme="majorEastAsia" w:hAnsiTheme="majorEastAsia" w:cs="Arial"/>
          <w:b w:val="0"/>
          <w:bCs w:val="0"/>
          <w:color w:val="000000" w:themeColor="text1"/>
        </w:rPr>
        <w:t>m</w:t>
      </w:r>
      <w:r w:rsidR="00B3457B" w:rsidRPr="00B3457B">
        <w:rPr>
          <w:rStyle w:val="a9"/>
          <w:rFonts w:asciiTheme="majorEastAsia" w:eastAsiaTheme="majorEastAsia" w:hAnsiTheme="majorEastAsia" w:cs="Arial"/>
          <w:b w:val="0"/>
          <w:bCs w:val="0"/>
          <w:color w:val="000000" w:themeColor="text1"/>
          <w:vertAlign w:val="superscript"/>
        </w:rPr>
        <w:t>3</w:t>
      </w:r>
      <w:r w:rsidR="00B3457B">
        <w:rPr>
          <w:rStyle w:val="a9"/>
          <w:rFonts w:asciiTheme="majorEastAsia" w:eastAsiaTheme="majorEastAsia" w:hAnsiTheme="majorEastAsia" w:cs="Arial"/>
          <w:b w:val="0"/>
          <w:bCs w:val="0"/>
          <w:color w:val="000000" w:themeColor="text1"/>
        </w:rPr>
        <w:t>,</w:t>
      </w:r>
      <w:r w:rsidR="00B01BD7">
        <w:rPr>
          <w:rStyle w:val="a9"/>
          <w:rFonts w:asciiTheme="majorEastAsia" w:eastAsiaTheme="majorEastAsia" w:hAnsiTheme="majorEastAsia" w:cs="Arial" w:hint="eastAsia"/>
          <w:b w:val="0"/>
          <w:bCs w:val="0"/>
          <w:color w:val="000000" w:themeColor="text1"/>
        </w:rPr>
        <w:t>地块</w:t>
      </w:r>
      <w:r w:rsidRPr="0033799D">
        <w:rPr>
          <w:rStyle w:val="a9"/>
          <w:rFonts w:asciiTheme="majorEastAsia" w:eastAsiaTheme="majorEastAsia" w:hAnsiTheme="majorEastAsia" w:cs="Arial" w:hint="eastAsia"/>
          <w:b w:val="0"/>
          <w:color w:val="000000" w:themeColor="text1"/>
        </w:rPr>
        <w:t>用地面积</w:t>
      </w:r>
      <w:r w:rsidR="00B01BD7">
        <w:rPr>
          <w:rStyle w:val="a9"/>
          <w:rFonts w:asciiTheme="majorEastAsia" w:eastAsiaTheme="majorEastAsia" w:hAnsiTheme="majorEastAsia" w:cs="Arial"/>
          <w:b w:val="0"/>
          <w:color w:val="000000" w:themeColor="text1"/>
        </w:rPr>
        <w:t>8202.8</w:t>
      </w:r>
      <w:r w:rsidRPr="0033799D">
        <w:rPr>
          <w:rStyle w:val="a9"/>
          <w:rFonts w:asciiTheme="majorEastAsia" w:eastAsiaTheme="majorEastAsia" w:hAnsiTheme="majorEastAsia" w:cs="Arial"/>
          <w:b w:val="0"/>
          <w:color w:val="000000" w:themeColor="text1"/>
        </w:rPr>
        <w:t>m</w:t>
      </w:r>
      <w:r w:rsidRPr="0033799D">
        <w:rPr>
          <w:rStyle w:val="a9"/>
          <w:rFonts w:asciiTheme="majorEastAsia" w:eastAsiaTheme="majorEastAsia" w:hAnsiTheme="majorEastAsia" w:cs="Arial"/>
          <w:b w:val="0"/>
          <w:color w:val="000000" w:themeColor="text1"/>
          <w:vertAlign w:val="superscript"/>
        </w:rPr>
        <w:t>2</w:t>
      </w:r>
      <w:r w:rsidRPr="0033799D">
        <w:rPr>
          <w:rStyle w:val="a9"/>
          <w:rFonts w:asciiTheme="majorEastAsia" w:eastAsiaTheme="majorEastAsia" w:hAnsiTheme="majorEastAsia" w:cs="Arial" w:hint="eastAsia"/>
          <w:b w:val="0"/>
          <w:color w:val="000000" w:themeColor="text1"/>
        </w:rPr>
        <w:t>。</w:t>
      </w:r>
      <w:bookmarkStart w:id="2" w:name="_Hlk114498275"/>
      <w:r w:rsidR="000A328C" w:rsidRPr="000A328C">
        <w:rPr>
          <w:rStyle w:val="a9"/>
          <w:rFonts w:asciiTheme="majorEastAsia" w:eastAsiaTheme="majorEastAsia" w:hAnsiTheme="majorEastAsia" w:cs="Arial"/>
          <w:b w:val="0"/>
          <w:bCs w:val="0"/>
          <w:color w:val="000000" w:themeColor="text1"/>
        </w:rPr>
        <w:t>地下室开挖面积6334m</w:t>
      </w:r>
      <w:r w:rsidR="000A328C" w:rsidRPr="000A328C">
        <w:rPr>
          <w:rStyle w:val="a9"/>
          <w:rFonts w:asciiTheme="majorEastAsia" w:eastAsiaTheme="majorEastAsia" w:hAnsiTheme="majorEastAsia" w:cs="Arial"/>
          <w:b w:val="0"/>
          <w:bCs w:val="0"/>
          <w:color w:val="000000" w:themeColor="text1"/>
          <w:vertAlign w:val="superscript"/>
        </w:rPr>
        <w:t>2</w:t>
      </w:r>
      <w:bookmarkEnd w:id="2"/>
      <w:r w:rsidR="000A328C">
        <w:rPr>
          <w:rStyle w:val="a9"/>
          <w:rFonts w:asciiTheme="majorEastAsia" w:eastAsiaTheme="majorEastAsia" w:hAnsiTheme="majorEastAsia" w:cs="Arial" w:hint="eastAsia"/>
          <w:b w:val="0"/>
          <w:bCs w:val="0"/>
          <w:color w:val="000000" w:themeColor="text1"/>
        </w:rPr>
        <w:t>（</w:t>
      </w:r>
      <w:r w:rsidRPr="0033799D">
        <w:rPr>
          <w:rStyle w:val="a9"/>
          <w:rFonts w:asciiTheme="majorEastAsia" w:eastAsiaTheme="majorEastAsia" w:hAnsiTheme="majorEastAsia" w:cs="Arial" w:hint="eastAsia"/>
          <w:b w:val="0"/>
          <w:color w:val="000000" w:themeColor="text1"/>
        </w:rPr>
        <w:t>详见</w:t>
      </w:r>
      <w:r w:rsidR="000A328C">
        <w:rPr>
          <w:rStyle w:val="a9"/>
          <w:rFonts w:asciiTheme="majorEastAsia" w:eastAsiaTheme="majorEastAsia" w:hAnsiTheme="majorEastAsia" w:cs="Arial" w:hint="eastAsia"/>
          <w:b w:val="0"/>
          <w:color w:val="000000" w:themeColor="text1"/>
        </w:rPr>
        <w:t>坐标</w:t>
      </w:r>
      <w:r w:rsidRPr="0033799D">
        <w:rPr>
          <w:rStyle w:val="a9"/>
          <w:rFonts w:asciiTheme="majorEastAsia" w:eastAsiaTheme="majorEastAsia" w:hAnsiTheme="majorEastAsia" w:cs="Arial" w:hint="eastAsia"/>
          <w:b w:val="0"/>
          <w:color w:val="000000" w:themeColor="text1"/>
        </w:rPr>
        <w:t>表</w:t>
      </w:r>
      <w:r w:rsidR="000A328C">
        <w:rPr>
          <w:rStyle w:val="a9"/>
          <w:rFonts w:asciiTheme="majorEastAsia" w:eastAsiaTheme="majorEastAsia" w:hAnsiTheme="majorEastAsia" w:cs="Arial" w:hint="eastAsia"/>
          <w:b w:val="0"/>
          <w:color w:val="000000" w:themeColor="text1"/>
        </w:rPr>
        <w:t>）</w:t>
      </w:r>
      <w:r w:rsidRPr="0033799D">
        <w:rPr>
          <w:rStyle w:val="a9"/>
          <w:rFonts w:asciiTheme="majorEastAsia" w:eastAsiaTheme="majorEastAsia" w:hAnsiTheme="majorEastAsia" w:cs="Arial" w:hint="eastAsia"/>
          <w:b w:val="0"/>
        </w:rPr>
        <w:t>。</w:t>
      </w:r>
      <w:r>
        <w:rPr>
          <w:rFonts w:hint="eastAsia"/>
          <w:color w:val="000000" w:themeColor="text1"/>
        </w:rPr>
        <w:t>可采砂石</w:t>
      </w:r>
      <w:r w:rsidRPr="0033799D">
        <w:rPr>
          <w:rFonts w:hint="eastAsia"/>
          <w:color w:val="000000" w:themeColor="text1"/>
        </w:rPr>
        <w:t>控制量约</w:t>
      </w:r>
      <w:r w:rsidRPr="0033799D">
        <w:rPr>
          <w:color w:val="000000" w:themeColor="text1"/>
        </w:rPr>
        <w:t>为：</w:t>
      </w:r>
      <w:r w:rsidRPr="0033799D">
        <w:rPr>
          <w:rFonts w:hint="eastAsia"/>
          <w:color w:val="000000" w:themeColor="text1"/>
        </w:rPr>
        <w:t>9</w:t>
      </w:r>
      <w:r w:rsidR="00B3457B">
        <w:rPr>
          <w:rFonts w:hint="eastAsia"/>
          <w:color w:val="000000" w:themeColor="text1"/>
        </w:rPr>
        <w:t>.2</w:t>
      </w:r>
      <w:r w:rsidRPr="0033799D">
        <w:rPr>
          <w:rFonts w:hint="eastAsia"/>
          <w:color w:val="000000" w:themeColor="text1"/>
        </w:rPr>
        <w:t>千</w:t>
      </w:r>
      <w:r w:rsidRPr="0033799D">
        <w:rPr>
          <w:color w:val="000000" w:themeColor="text1"/>
        </w:rPr>
        <w:t>立方米</w:t>
      </w:r>
      <w:r w:rsidRPr="0033799D">
        <w:rPr>
          <w:rFonts w:hint="eastAsia"/>
          <w:color w:val="000000" w:themeColor="text1"/>
        </w:rPr>
        <w:t>。</w:t>
      </w:r>
    </w:p>
    <w:p w14:paraId="4AC00AFB" w14:textId="01A91AC2" w:rsidR="00827512" w:rsidRPr="00234AC4" w:rsidRDefault="00827512" w:rsidP="00827512">
      <w:pPr>
        <w:pStyle w:val="ab"/>
        <w:ind w:firstLineChars="200" w:firstLine="480"/>
        <w:rPr>
          <w:rFonts w:ascii="Times New Roman" w:eastAsia="仿宋_GB2312" w:hAnsi="Times New Roman"/>
          <w:b/>
          <w:sz w:val="24"/>
        </w:rPr>
      </w:pPr>
    </w:p>
    <w:tbl>
      <w:tblPr>
        <w:tblpPr w:leftFromText="180" w:rightFromText="180" w:vertAnchor="text" w:horzAnchor="margin" w:tblpY="-14"/>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1787"/>
        <w:gridCol w:w="1800"/>
        <w:gridCol w:w="963"/>
        <w:gridCol w:w="1712"/>
        <w:gridCol w:w="1772"/>
      </w:tblGrid>
      <w:tr w:rsidR="00827512" w14:paraId="5334785A" w14:textId="77777777" w:rsidTr="009643E0">
        <w:trPr>
          <w:trHeight w:val="325"/>
        </w:trPr>
        <w:tc>
          <w:tcPr>
            <w:tcW w:w="938" w:type="dxa"/>
            <w:vMerge w:val="restart"/>
            <w:noWrap/>
            <w:vAlign w:val="center"/>
          </w:tcPr>
          <w:p w14:paraId="44722250" w14:textId="77777777" w:rsidR="00827512" w:rsidRDefault="00827512" w:rsidP="009643E0">
            <w:pPr>
              <w:jc w:val="center"/>
              <w:rPr>
                <w:rFonts w:ascii="宋体" w:hAnsi="宋体" w:cs="宋体"/>
                <w:kern w:val="0"/>
                <w:sz w:val="24"/>
              </w:rPr>
            </w:pPr>
            <w:bookmarkStart w:id="3" w:name="_Hlk114498136"/>
            <w:r>
              <w:rPr>
                <w:rFonts w:ascii="宋体" w:hAnsi="宋体" w:cs="宋体" w:hint="eastAsia"/>
                <w:kern w:val="0"/>
                <w:sz w:val="24"/>
              </w:rPr>
              <w:t>拐点号</w:t>
            </w:r>
          </w:p>
        </w:tc>
        <w:tc>
          <w:tcPr>
            <w:tcW w:w="3587" w:type="dxa"/>
            <w:gridSpan w:val="2"/>
            <w:noWrap/>
            <w:vAlign w:val="center"/>
          </w:tcPr>
          <w:p w14:paraId="699B3CD0" w14:textId="77777777" w:rsidR="00827512" w:rsidRDefault="00827512" w:rsidP="009643E0">
            <w:pPr>
              <w:widowControl/>
              <w:jc w:val="center"/>
              <w:rPr>
                <w:rFonts w:ascii="宋体" w:hAnsi="宋体" w:cs="宋体"/>
                <w:kern w:val="0"/>
                <w:sz w:val="24"/>
              </w:rPr>
            </w:pPr>
            <w:r>
              <w:rPr>
                <w:rFonts w:ascii="宋体" w:hAnsi="宋体" w:cs="宋体" w:hint="eastAsia"/>
                <w:kern w:val="0"/>
                <w:sz w:val="24"/>
              </w:rPr>
              <w:t>2000国家大地坐标系</w:t>
            </w:r>
          </w:p>
        </w:tc>
        <w:tc>
          <w:tcPr>
            <w:tcW w:w="963" w:type="dxa"/>
            <w:vMerge w:val="restart"/>
            <w:noWrap/>
            <w:vAlign w:val="center"/>
          </w:tcPr>
          <w:p w14:paraId="0378EB08" w14:textId="77777777" w:rsidR="00827512" w:rsidRDefault="00827512" w:rsidP="009643E0">
            <w:pPr>
              <w:widowControl/>
              <w:jc w:val="center"/>
              <w:rPr>
                <w:rFonts w:ascii="宋体" w:hAnsi="宋体" w:cs="宋体"/>
                <w:kern w:val="0"/>
                <w:sz w:val="24"/>
              </w:rPr>
            </w:pPr>
            <w:r>
              <w:rPr>
                <w:rFonts w:ascii="宋体" w:hAnsi="宋体" w:cs="宋体" w:hint="eastAsia"/>
                <w:kern w:val="0"/>
                <w:sz w:val="24"/>
              </w:rPr>
              <w:t>拐点号</w:t>
            </w:r>
          </w:p>
        </w:tc>
        <w:tc>
          <w:tcPr>
            <w:tcW w:w="3484" w:type="dxa"/>
            <w:gridSpan w:val="2"/>
            <w:noWrap/>
            <w:vAlign w:val="center"/>
          </w:tcPr>
          <w:p w14:paraId="50DD41DC" w14:textId="77777777" w:rsidR="00827512" w:rsidRDefault="00827512" w:rsidP="009643E0">
            <w:pPr>
              <w:widowControl/>
              <w:jc w:val="center"/>
              <w:rPr>
                <w:rFonts w:ascii="宋体" w:hAnsi="宋体" w:cs="宋体"/>
                <w:kern w:val="0"/>
                <w:sz w:val="24"/>
              </w:rPr>
            </w:pPr>
            <w:r>
              <w:rPr>
                <w:rFonts w:ascii="宋体" w:hAnsi="宋体" w:cs="宋体" w:hint="eastAsia"/>
                <w:kern w:val="0"/>
                <w:sz w:val="24"/>
              </w:rPr>
              <w:t>2000国家大地坐标系</w:t>
            </w:r>
          </w:p>
        </w:tc>
      </w:tr>
      <w:tr w:rsidR="00827512" w14:paraId="017C92A6" w14:textId="77777777" w:rsidTr="009643E0">
        <w:trPr>
          <w:trHeight w:val="325"/>
        </w:trPr>
        <w:tc>
          <w:tcPr>
            <w:tcW w:w="938" w:type="dxa"/>
            <w:vMerge/>
            <w:noWrap/>
            <w:vAlign w:val="center"/>
          </w:tcPr>
          <w:p w14:paraId="1EF9EFF6" w14:textId="77777777" w:rsidR="00827512" w:rsidRDefault="00827512" w:rsidP="009643E0">
            <w:pPr>
              <w:widowControl/>
              <w:jc w:val="center"/>
              <w:rPr>
                <w:rFonts w:ascii="宋体" w:hAnsi="宋体" w:cs="宋体"/>
                <w:kern w:val="0"/>
                <w:sz w:val="24"/>
              </w:rPr>
            </w:pPr>
          </w:p>
        </w:tc>
        <w:tc>
          <w:tcPr>
            <w:tcW w:w="1787" w:type="dxa"/>
            <w:noWrap/>
            <w:vAlign w:val="center"/>
          </w:tcPr>
          <w:p w14:paraId="75776CFB" w14:textId="77777777" w:rsidR="00827512" w:rsidRDefault="00827512" w:rsidP="009643E0">
            <w:pPr>
              <w:widowControl/>
              <w:jc w:val="center"/>
              <w:rPr>
                <w:rFonts w:ascii="宋体" w:hAnsi="宋体" w:cs="宋体"/>
                <w:kern w:val="0"/>
                <w:sz w:val="24"/>
              </w:rPr>
            </w:pPr>
            <w:r>
              <w:rPr>
                <w:rFonts w:ascii="宋体" w:hAnsi="宋体" w:cs="宋体" w:hint="eastAsia"/>
                <w:kern w:val="0"/>
                <w:sz w:val="24"/>
              </w:rPr>
              <w:t>X</w:t>
            </w:r>
          </w:p>
        </w:tc>
        <w:tc>
          <w:tcPr>
            <w:tcW w:w="1800" w:type="dxa"/>
            <w:noWrap/>
            <w:vAlign w:val="center"/>
          </w:tcPr>
          <w:p w14:paraId="019CD75E" w14:textId="77777777" w:rsidR="00827512" w:rsidRDefault="00827512" w:rsidP="009643E0">
            <w:pPr>
              <w:widowControl/>
              <w:jc w:val="center"/>
              <w:rPr>
                <w:rFonts w:ascii="宋体" w:hAnsi="宋体" w:cs="宋体"/>
                <w:kern w:val="0"/>
                <w:sz w:val="24"/>
              </w:rPr>
            </w:pPr>
            <w:r>
              <w:rPr>
                <w:rFonts w:ascii="宋体" w:hAnsi="宋体" w:cs="宋体" w:hint="eastAsia"/>
                <w:kern w:val="0"/>
                <w:sz w:val="24"/>
              </w:rPr>
              <w:t>Y</w:t>
            </w:r>
          </w:p>
        </w:tc>
        <w:tc>
          <w:tcPr>
            <w:tcW w:w="963" w:type="dxa"/>
            <w:vMerge/>
            <w:noWrap/>
            <w:vAlign w:val="center"/>
          </w:tcPr>
          <w:p w14:paraId="78FEE020" w14:textId="77777777" w:rsidR="00827512" w:rsidRDefault="00827512" w:rsidP="009643E0">
            <w:pPr>
              <w:widowControl/>
              <w:jc w:val="center"/>
              <w:rPr>
                <w:rFonts w:ascii="宋体" w:hAnsi="宋体" w:cs="宋体"/>
                <w:kern w:val="0"/>
                <w:sz w:val="24"/>
              </w:rPr>
            </w:pPr>
          </w:p>
        </w:tc>
        <w:tc>
          <w:tcPr>
            <w:tcW w:w="1712" w:type="dxa"/>
            <w:noWrap/>
            <w:vAlign w:val="center"/>
          </w:tcPr>
          <w:p w14:paraId="64E9278E" w14:textId="77777777" w:rsidR="00827512" w:rsidRDefault="00827512" w:rsidP="009643E0">
            <w:pPr>
              <w:widowControl/>
              <w:jc w:val="center"/>
              <w:rPr>
                <w:rFonts w:ascii="宋体" w:hAnsi="宋体" w:cs="宋体"/>
                <w:kern w:val="0"/>
                <w:sz w:val="24"/>
              </w:rPr>
            </w:pPr>
            <w:r>
              <w:rPr>
                <w:rFonts w:ascii="宋体" w:hAnsi="宋体" w:cs="宋体" w:hint="eastAsia"/>
                <w:kern w:val="0"/>
                <w:sz w:val="24"/>
              </w:rPr>
              <w:t>X</w:t>
            </w:r>
          </w:p>
        </w:tc>
        <w:tc>
          <w:tcPr>
            <w:tcW w:w="1772" w:type="dxa"/>
            <w:noWrap/>
            <w:vAlign w:val="center"/>
          </w:tcPr>
          <w:p w14:paraId="5F9F6899" w14:textId="77777777" w:rsidR="00827512" w:rsidRDefault="00827512" w:rsidP="009643E0">
            <w:pPr>
              <w:widowControl/>
              <w:jc w:val="center"/>
              <w:rPr>
                <w:rFonts w:ascii="宋体" w:hAnsi="宋体" w:cs="宋体"/>
                <w:kern w:val="0"/>
                <w:sz w:val="24"/>
              </w:rPr>
            </w:pPr>
            <w:r>
              <w:rPr>
                <w:rFonts w:ascii="宋体" w:hAnsi="宋体" w:cs="宋体" w:hint="eastAsia"/>
                <w:kern w:val="0"/>
                <w:sz w:val="24"/>
              </w:rPr>
              <w:t>Y</w:t>
            </w:r>
          </w:p>
        </w:tc>
      </w:tr>
      <w:tr w:rsidR="00827512" w14:paraId="0236B041" w14:textId="77777777" w:rsidTr="009643E0">
        <w:trPr>
          <w:trHeight w:val="330"/>
        </w:trPr>
        <w:tc>
          <w:tcPr>
            <w:tcW w:w="938" w:type="dxa"/>
            <w:noWrap/>
            <w:vAlign w:val="center"/>
          </w:tcPr>
          <w:p w14:paraId="23128E59" w14:textId="77777777" w:rsidR="00827512" w:rsidRDefault="00827512" w:rsidP="009643E0">
            <w:pPr>
              <w:widowControl/>
              <w:jc w:val="center"/>
              <w:textAlignment w:val="center"/>
              <w:rPr>
                <w:kern w:val="0"/>
                <w:szCs w:val="21"/>
              </w:rPr>
            </w:pPr>
            <w:bookmarkStart w:id="4" w:name="_Hlk386034615"/>
            <w:r>
              <w:rPr>
                <w:rFonts w:ascii="宋体" w:hAnsi="宋体" w:cs="宋体" w:hint="eastAsia"/>
                <w:color w:val="000000"/>
                <w:kern w:val="0"/>
                <w:szCs w:val="21"/>
                <w:lang w:bidi="ar"/>
              </w:rPr>
              <w:t>J1</w:t>
            </w:r>
          </w:p>
        </w:tc>
        <w:tc>
          <w:tcPr>
            <w:tcW w:w="1787" w:type="dxa"/>
            <w:noWrap/>
            <w:vAlign w:val="center"/>
          </w:tcPr>
          <w:p w14:paraId="19EBADF9" w14:textId="77777777" w:rsidR="00827512" w:rsidRDefault="00827512" w:rsidP="009643E0">
            <w:pPr>
              <w:jc w:val="center"/>
              <w:rPr>
                <w:rFonts w:ascii="宋体" w:hAnsi="宋体" w:cs="宋体"/>
                <w:color w:val="000000"/>
                <w:szCs w:val="21"/>
              </w:rPr>
            </w:pPr>
            <w:r>
              <w:rPr>
                <w:rFonts w:ascii="宋体" w:hAnsi="宋体" w:cs="宋体" w:hint="eastAsia"/>
                <w:color w:val="000000"/>
                <w:kern w:val="0"/>
                <w:szCs w:val="21"/>
                <w:lang w:bidi="ar"/>
              </w:rPr>
              <w:t>3218648.991</w:t>
            </w:r>
          </w:p>
        </w:tc>
        <w:tc>
          <w:tcPr>
            <w:tcW w:w="1800" w:type="dxa"/>
            <w:noWrap/>
            <w:vAlign w:val="center"/>
          </w:tcPr>
          <w:p w14:paraId="017DECEF" w14:textId="77777777" w:rsidR="00827512" w:rsidRDefault="00827512" w:rsidP="009643E0">
            <w:pPr>
              <w:jc w:val="center"/>
              <w:rPr>
                <w:rFonts w:ascii="宋体" w:hAnsi="宋体" w:cs="宋体"/>
                <w:color w:val="00000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456675.827</w:t>
            </w:r>
          </w:p>
        </w:tc>
        <w:tc>
          <w:tcPr>
            <w:tcW w:w="963" w:type="dxa"/>
            <w:noWrap/>
            <w:vAlign w:val="center"/>
          </w:tcPr>
          <w:p w14:paraId="56F742E2"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J7</w:t>
            </w:r>
          </w:p>
        </w:tc>
        <w:tc>
          <w:tcPr>
            <w:tcW w:w="1712" w:type="dxa"/>
            <w:noWrap/>
            <w:vAlign w:val="center"/>
          </w:tcPr>
          <w:p w14:paraId="66CDC72F" w14:textId="77777777" w:rsidR="00827512" w:rsidRDefault="00827512" w:rsidP="009643E0">
            <w:pPr>
              <w:jc w:val="center"/>
              <w:rPr>
                <w:rFonts w:ascii="宋体" w:hAnsi="宋体" w:cs="宋体"/>
                <w:color w:val="000000"/>
                <w:szCs w:val="21"/>
              </w:rPr>
            </w:pPr>
            <w:r>
              <w:rPr>
                <w:rFonts w:ascii="宋体" w:hAnsi="宋体" w:cs="宋体" w:hint="eastAsia"/>
                <w:color w:val="000000"/>
                <w:kern w:val="0"/>
                <w:szCs w:val="21"/>
                <w:lang w:bidi="ar"/>
              </w:rPr>
              <w:t>3218549.429</w:t>
            </w:r>
          </w:p>
        </w:tc>
        <w:tc>
          <w:tcPr>
            <w:tcW w:w="1772" w:type="dxa"/>
            <w:noWrap/>
            <w:vAlign w:val="center"/>
          </w:tcPr>
          <w:p w14:paraId="7F5F330F" w14:textId="77777777" w:rsidR="00827512" w:rsidRDefault="00827512" w:rsidP="009643E0">
            <w:pPr>
              <w:jc w:val="center"/>
              <w:rPr>
                <w:rFonts w:ascii="宋体" w:hAnsi="宋体" w:cs="宋体"/>
                <w:color w:val="00000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456727.934</w:t>
            </w:r>
          </w:p>
        </w:tc>
      </w:tr>
      <w:tr w:rsidR="00827512" w14:paraId="02418A8B" w14:textId="77777777" w:rsidTr="009643E0">
        <w:trPr>
          <w:trHeight w:val="418"/>
        </w:trPr>
        <w:tc>
          <w:tcPr>
            <w:tcW w:w="938" w:type="dxa"/>
            <w:noWrap/>
            <w:vAlign w:val="center"/>
          </w:tcPr>
          <w:p w14:paraId="07144D03"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J2</w:t>
            </w:r>
          </w:p>
        </w:tc>
        <w:tc>
          <w:tcPr>
            <w:tcW w:w="1787" w:type="dxa"/>
            <w:noWrap/>
            <w:vAlign w:val="center"/>
          </w:tcPr>
          <w:p w14:paraId="30DB23B1" w14:textId="77777777" w:rsidR="00827512" w:rsidRDefault="00827512" w:rsidP="009643E0">
            <w:pPr>
              <w:jc w:val="center"/>
              <w:rPr>
                <w:rFonts w:ascii="宋体" w:hAnsi="宋体" w:cs="宋体"/>
                <w:color w:val="000000"/>
                <w:szCs w:val="21"/>
              </w:rPr>
            </w:pPr>
            <w:r>
              <w:rPr>
                <w:rFonts w:ascii="宋体" w:hAnsi="宋体" w:cs="宋体" w:hint="eastAsia"/>
                <w:color w:val="000000"/>
                <w:kern w:val="0"/>
                <w:szCs w:val="21"/>
                <w:lang w:bidi="ar"/>
              </w:rPr>
              <w:t>3218626.855</w:t>
            </w:r>
          </w:p>
        </w:tc>
        <w:tc>
          <w:tcPr>
            <w:tcW w:w="1800" w:type="dxa"/>
            <w:noWrap/>
            <w:vAlign w:val="center"/>
          </w:tcPr>
          <w:p w14:paraId="61F4FF3A" w14:textId="77777777" w:rsidR="00827512" w:rsidRDefault="00827512" w:rsidP="009643E0">
            <w:pPr>
              <w:jc w:val="center"/>
              <w:rPr>
                <w:rFonts w:ascii="宋体" w:hAnsi="宋体" w:cs="宋体"/>
                <w:color w:val="00000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456746.480</w:t>
            </w:r>
          </w:p>
        </w:tc>
        <w:tc>
          <w:tcPr>
            <w:tcW w:w="963" w:type="dxa"/>
            <w:noWrap/>
            <w:vAlign w:val="center"/>
          </w:tcPr>
          <w:p w14:paraId="0EF03F09"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J8</w:t>
            </w:r>
          </w:p>
        </w:tc>
        <w:tc>
          <w:tcPr>
            <w:tcW w:w="1712" w:type="dxa"/>
            <w:noWrap/>
            <w:vAlign w:val="center"/>
          </w:tcPr>
          <w:p w14:paraId="31AEE7BB" w14:textId="77777777" w:rsidR="00827512" w:rsidRDefault="00827512" w:rsidP="009643E0">
            <w:pPr>
              <w:jc w:val="center"/>
              <w:rPr>
                <w:rFonts w:ascii="宋体" w:hAnsi="宋体" w:cs="宋体"/>
                <w:color w:val="000000"/>
                <w:szCs w:val="21"/>
              </w:rPr>
            </w:pPr>
            <w:r>
              <w:rPr>
                <w:rFonts w:ascii="宋体" w:hAnsi="宋体" w:cs="宋体" w:hint="eastAsia"/>
                <w:color w:val="000000"/>
                <w:kern w:val="0"/>
                <w:szCs w:val="21"/>
                <w:lang w:bidi="ar"/>
              </w:rPr>
              <w:t>3218559.823</w:t>
            </w:r>
          </w:p>
        </w:tc>
        <w:tc>
          <w:tcPr>
            <w:tcW w:w="1772" w:type="dxa"/>
            <w:noWrap/>
            <w:vAlign w:val="center"/>
          </w:tcPr>
          <w:p w14:paraId="1DFCB1E6" w14:textId="77777777" w:rsidR="00827512" w:rsidRDefault="00827512" w:rsidP="009643E0">
            <w:pPr>
              <w:jc w:val="center"/>
              <w:rPr>
                <w:rFonts w:ascii="宋体" w:hAnsi="宋体" w:cs="宋体"/>
                <w:color w:val="00000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456694.759</w:t>
            </w:r>
          </w:p>
        </w:tc>
      </w:tr>
      <w:tr w:rsidR="00827512" w14:paraId="685B9C59" w14:textId="77777777" w:rsidTr="009643E0">
        <w:trPr>
          <w:trHeight w:val="432"/>
        </w:trPr>
        <w:tc>
          <w:tcPr>
            <w:tcW w:w="938" w:type="dxa"/>
            <w:noWrap/>
            <w:vAlign w:val="center"/>
          </w:tcPr>
          <w:p w14:paraId="276C9CA3"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J3</w:t>
            </w:r>
          </w:p>
        </w:tc>
        <w:tc>
          <w:tcPr>
            <w:tcW w:w="1787" w:type="dxa"/>
            <w:noWrap/>
            <w:vAlign w:val="center"/>
          </w:tcPr>
          <w:p w14:paraId="0CC1DE28" w14:textId="77777777" w:rsidR="00827512" w:rsidRDefault="00827512" w:rsidP="009643E0">
            <w:pPr>
              <w:jc w:val="center"/>
              <w:rPr>
                <w:rFonts w:ascii="宋体" w:hAnsi="宋体" w:cs="宋体"/>
                <w:color w:val="000000"/>
                <w:szCs w:val="21"/>
              </w:rPr>
            </w:pPr>
            <w:r>
              <w:rPr>
                <w:rFonts w:ascii="宋体" w:hAnsi="宋体" w:cs="宋体" w:hint="eastAsia"/>
                <w:color w:val="000000"/>
                <w:kern w:val="0"/>
                <w:szCs w:val="21"/>
                <w:lang w:bidi="ar"/>
              </w:rPr>
              <w:t>3218647.518</w:t>
            </w:r>
          </w:p>
        </w:tc>
        <w:tc>
          <w:tcPr>
            <w:tcW w:w="1800" w:type="dxa"/>
            <w:noWrap/>
            <w:vAlign w:val="center"/>
          </w:tcPr>
          <w:p w14:paraId="04744CD9" w14:textId="77777777" w:rsidR="00827512" w:rsidRDefault="00827512" w:rsidP="009643E0">
            <w:pPr>
              <w:jc w:val="center"/>
              <w:rPr>
                <w:rFonts w:ascii="宋体" w:hAnsi="宋体" w:cs="宋体"/>
                <w:color w:val="00000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456752.949</w:t>
            </w:r>
          </w:p>
        </w:tc>
        <w:tc>
          <w:tcPr>
            <w:tcW w:w="963" w:type="dxa"/>
            <w:noWrap/>
            <w:vAlign w:val="center"/>
          </w:tcPr>
          <w:p w14:paraId="7CB4C9AA"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J9</w:t>
            </w:r>
          </w:p>
        </w:tc>
        <w:tc>
          <w:tcPr>
            <w:tcW w:w="1712" w:type="dxa"/>
            <w:noWrap/>
            <w:vAlign w:val="center"/>
          </w:tcPr>
          <w:p w14:paraId="3EA97EBC" w14:textId="77777777" w:rsidR="00827512" w:rsidRDefault="00827512" w:rsidP="009643E0">
            <w:pPr>
              <w:jc w:val="center"/>
              <w:rPr>
                <w:rFonts w:ascii="宋体" w:hAnsi="宋体" w:cs="宋体"/>
                <w:color w:val="000000"/>
                <w:szCs w:val="21"/>
              </w:rPr>
            </w:pPr>
            <w:r>
              <w:rPr>
                <w:rFonts w:ascii="宋体" w:hAnsi="宋体" w:cs="宋体" w:hint="eastAsia"/>
                <w:color w:val="000000"/>
                <w:kern w:val="0"/>
                <w:szCs w:val="21"/>
                <w:lang w:bidi="ar"/>
              </w:rPr>
              <w:t>3218567.107</w:t>
            </w:r>
          </w:p>
        </w:tc>
        <w:tc>
          <w:tcPr>
            <w:tcW w:w="1772" w:type="dxa"/>
            <w:noWrap/>
            <w:vAlign w:val="center"/>
          </w:tcPr>
          <w:p w14:paraId="076FD56E" w14:textId="77777777" w:rsidR="00827512" w:rsidRDefault="00827512" w:rsidP="009643E0">
            <w:pPr>
              <w:jc w:val="center"/>
              <w:rPr>
                <w:rFonts w:ascii="宋体" w:hAnsi="宋体" w:cs="宋体"/>
                <w:color w:val="00000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456671.466</w:t>
            </w:r>
          </w:p>
        </w:tc>
      </w:tr>
      <w:tr w:rsidR="00827512" w14:paraId="71C1FD5D" w14:textId="77777777" w:rsidTr="009643E0">
        <w:trPr>
          <w:trHeight w:val="355"/>
        </w:trPr>
        <w:tc>
          <w:tcPr>
            <w:tcW w:w="938" w:type="dxa"/>
            <w:noWrap/>
            <w:vAlign w:val="center"/>
          </w:tcPr>
          <w:p w14:paraId="1D89F5CD"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J4</w:t>
            </w:r>
          </w:p>
        </w:tc>
        <w:tc>
          <w:tcPr>
            <w:tcW w:w="1787" w:type="dxa"/>
            <w:noWrap/>
            <w:vAlign w:val="center"/>
          </w:tcPr>
          <w:p w14:paraId="50A7696D" w14:textId="77777777" w:rsidR="00827512" w:rsidRDefault="00827512" w:rsidP="009643E0">
            <w:pPr>
              <w:jc w:val="center"/>
              <w:rPr>
                <w:rFonts w:ascii="宋体" w:hAnsi="宋体" w:cs="宋体"/>
                <w:color w:val="000000"/>
                <w:szCs w:val="21"/>
              </w:rPr>
            </w:pPr>
            <w:r>
              <w:rPr>
                <w:rFonts w:ascii="宋体" w:hAnsi="宋体" w:cs="宋体" w:hint="eastAsia"/>
                <w:color w:val="000000"/>
                <w:kern w:val="0"/>
                <w:szCs w:val="21"/>
                <w:lang w:bidi="ar"/>
              </w:rPr>
              <w:t>3218645.390</w:t>
            </w:r>
          </w:p>
        </w:tc>
        <w:tc>
          <w:tcPr>
            <w:tcW w:w="1800" w:type="dxa"/>
            <w:noWrap/>
            <w:vAlign w:val="center"/>
          </w:tcPr>
          <w:p w14:paraId="41845E07" w14:textId="77777777" w:rsidR="00827512" w:rsidRDefault="00827512" w:rsidP="009643E0">
            <w:pPr>
              <w:jc w:val="center"/>
              <w:rPr>
                <w:rFonts w:ascii="宋体" w:hAnsi="宋体" w:cs="宋体"/>
                <w:color w:val="00000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456759.570</w:t>
            </w:r>
          </w:p>
        </w:tc>
        <w:tc>
          <w:tcPr>
            <w:tcW w:w="963" w:type="dxa"/>
            <w:noWrap/>
            <w:vAlign w:val="center"/>
          </w:tcPr>
          <w:p w14:paraId="0E180DCF"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J10</w:t>
            </w:r>
          </w:p>
        </w:tc>
        <w:tc>
          <w:tcPr>
            <w:tcW w:w="1712" w:type="dxa"/>
            <w:noWrap/>
            <w:vAlign w:val="center"/>
          </w:tcPr>
          <w:p w14:paraId="4BD67AD1" w14:textId="77777777" w:rsidR="00827512" w:rsidRDefault="00827512" w:rsidP="009643E0">
            <w:pPr>
              <w:jc w:val="center"/>
              <w:rPr>
                <w:rFonts w:ascii="宋体" w:hAnsi="宋体" w:cs="宋体"/>
                <w:color w:val="000000"/>
                <w:szCs w:val="21"/>
              </w:rPr>
            </w:pPr>
            <w:r>
              <w:rPr>
                <w:rFonts w:ascii="宋体" w:hAnsi="宋体" w:cs="宋体" w:hint="eastAsia"/>
                <w:color w:val="000000"/>
                <w:kern w:val="0"/>
                <w:szCs w:val="21"/>
                <w:lang w:bidi="ar"/>
              </w:rPr>
              <w:t>3218574.191</w:t>
            </w:r>
          </w:p>
        </w:tc>
        <w:tc>
          <w:tcPr>
            <w:tcW w:w="1772" w:type="dxa"/>
            <w:noWrap/>
            <w:vAlign w:val="center"/>
          </w:tcPr>
          <w:p w14:paraId="7E327BBD" w14:textId="77777777" w:rsidR="00827512" w:rsidRDefault="00827512" w:rsidP="009643E0">
            <w:pPr>
              <w:jc w:val="center"/>
              <w:rPr>
                <w:rFonts w:ascii="宋体" w:hAnsi="宋体" w:cs="宋体"/>
                <w:color w:val="00000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456673.684</w:t>
            </w:r>
          </w:p>
        </w:tc>
      </w:tr>
      <w:tr w:rsidR="00827512" w14:paraId="0CBC0337" w14:textId="77777777" w:rsidTr="009643E0">
        <w:trPr>
          <w:trHeight w:val="355"/>
        </w:trPr>
        <w:tc>
          <w:tcPr>
            <w:tcW w:w="938" w:type="dxa"/>
            <w:noWrap/>
            <w:vAlign w:val="center"/>
          </w:tcPr>
          <w:p w14:paraId="3A21D4CB"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J5</w:t>
            </w:r>
          </w:p>
        </w:tc>
        <w:tc>
          <w:tcPr>
            <w:tcW w:w="1787" w:type="dxa"/>
            <w:noWrap/>
            <w:vAlign w:val="center"/>
          </w:tcPr>
          <w:p w14:paraId="3EED3AE6" w14:textId="77777777" w:rsidR="00827512" w:rsidRDefault="00827512" w:rsidP="009643E0">
            <w:pPr>
              <w:jc w:val="center"/>
              <w:rPr>
                <w:kern w:val="0"/>
                <w:szCs w:val="21"/>
              </w:rPr>
            </w:pPr>
            <w:r>
              <w:rPr>
                <w:rFonts w:ascii="宋体" w:hAnsi="宋体" w:cs="宋体" w:hint="eastAsia"/>
                <w:color w:val="000000"/>
                <w:kern w:val="0"/>
                <w:szCs w:val="21"/>
                <w:lang w:bidi="ar"/>
              </w:rPr>
              <w:t>3218605.139</w:t>
            </w:r>
          </w:p>
        </w:tc>
        <w:tc>
          <w:tcPr>
            <w:tcW w:w="1800" w:type="dxa"/>
            <w:noWrap/>
            <w:vAlign w:val="center"/>
          </w:tcPr>
          <w:p w14:paraId="2DF96A83" w14:textId="77777777" w:rsidR="00827512" w:rsidRDefault="00827512" w:rsidP="009643E0">
            <w:pPr>
              <w:jc w:val="center"/>
              <w:rPr>
                <w:kern w:val="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456746.960</w:t>
            </w:r>
          </w:p>
        </w:tc>
        <w:tc>
          <w:tcPr>
            <w:tcW w:w="963" w:type="dxa"/>
            <w:noWrap/>
            <w:vAlign w:val="center"/>
          </w:tcPr>
          <w:p w14:paraId="5477FF14"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J11</w:t>
            </w:r>
          </w:p>
        </w:tc>
        <w:tc>
          <w:tcPr>
            <w:tcW w:w="1712" w:type="dxa"/>
            <w:noWrap/>
            <w:vAlign w:val="center"/>
          </w:tcPr>
          <w:p w14:paraId="1A8173CA" w14:textId="77777777" w:rsidR="00827512" w:rsidRDefault="00827512" w:rsidP="009643E0">
            <w:pPr>
              <w:jc w:val="center"/>
              <w:rPr>
                <w:kern w:val="0"/>
                <w:szCs w:val="21"/>
              </w:rPr>
            </w:pPr>
            <w:r>
              <w:rPr>
                <w:rFonts w:ascii="宋体" w:hAnsi="宋体" w:cs="宋体" w:hint="eastAsia"/>
                <w:color w:val="000000"/>
                <w:kern w:val="0"/>
                <w:szCs w:val="21"/>
                <w:lang w:bidi="ar"/>
              </w:rPr>
              <w:t>3218580.265</w:t>
            </w:r>
          </w:p>
        </w:tc>
        <w:tc>
          <w:tcPr>
            <w:tcW w:w="1772" w:type="dxa"/>
            <w:noWrap/>
            <w:vAlign w:val="center"/>
          </w:tcPr>
          <w:p w14:paraId="7343D7D5" w14:textId="77777777" w:rsidR="00827512" w:rsidRDefault="00827512" w:rsidP="009643E0">
            <w:pPr>
              <w:jc w:val="center"/>
              <w:rPr>
                <w:kern w:val="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456654.295</w:t>
            </w:r>
          </w:p>
        </w:tc>
      </w:tr>
      <w:tr w:rsidR="00827512" w14:paraId="574CCD66" w14:textId="77777777" w:rsidTr="009643E0">
        <w:trPr>
          <w:trHeight w:val="355"/>
        </w:trPr>
        <w:tc>
          <w:tcPr>
            <w:tcW w:w="938" w:type="dxa"/>
            <w:noWrap/>
            <w:vAlign w:val="center"/>
          </w:tcPr>
          <w:p w14:paraId="23D3F9C6"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J6</w:t>
            </w:r>
          </w:p>
        </w:tc>
        <w:tc>
          <w:tcPr>
            <w:tcW w:w="1787" w:type="dxa"/>
            <w:noWrap/>
            <w:vAlign w:val="center"/>
          </w:tcPr>
          <w:p w14:paraId="1621DB87" w14:textId="77777777" w:rsidR="00827512" w:rsidRDefault="00827512" w:rsidP="009643E0">
            <w:pPr>
              <w:jc w:val="center"/>
              <w:rPr>
                <w:kern w:val="0"/>
                <w:szCs w:val="21"/>
              </w:rPr>
            </w:pPr>
            <w:r>
              <w:rPr>
                <w:rFonts w:ascii="宋体" w:hAnsi="宋体" w:cs="宋体" w:hint="eastAsia"/>
                <w:color w:val="000000"/>
                <w:kern w:val="0"/>
                <w:szCs w:val="21"/>
                <w:lang w:bidi="ar"/>
              </w:rPr>
              <w:t>3218605.587</w:t>
            </w:r>
          </w:p>
        </w:tc>
        <w:tc>
          <w:tcPr>
            <w:tcW w:w="1800" w:type="dxa"/>
            <w:noWrap/>
            <w:vAlign w:val="center"/>
          </w:tcPr>
          <w:p w14:paraId="2BEF7F2B" w14:textId="77777777" w:rsidR="00827512" w:rsidRDefault="00827512" w:rsidP="009643E0">
            <w:pPr>
              <w:jc w:val="center"/>
              <w:rPr>
                <w:kern w:val="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456745.528</w:t>
            </w:r>
          </w:p>
        </w:tc>
        <w:tc>
          <w:tcPr>
            <w:tcW w:w="963" w:type="dxa"/>
            <w:noWrap/>
            <w:vAlign w:val="center"/>
          </w:tcPr>
          <w:p w14:paraId="1DEE6625" w14:textId="77777777" w:rsidR="00827512" w:rsidRDefault="00827512" w:rsidP="009643E0">
            <w:pPr>
              <w:widowControl/>
              <w:jc w:val="center"/>
              <w:textAlignment w:val="center"/>
              <w:rPr>
                <w:kern w:val="0"/>
                <w:szCs w:val="21"/>
              </w:rPr>
            </w:pPr>
            <w:r>
              <w:rPr>
                <w:rFonts w:ascii="宋体" w:hAnsi="宋体" w:cs="宋体" w:hint="eastAsia"/>
                <w:color w:val="000000"/>
                <w:kern w:val="0"/>
                <w:szCs w:val="21"/>
                <w:lang w:bidi="ar"/>
              </w:rPr>
              <w:t>J12</w:t>
            </w:r>
          </w:p>
        </w:tc>
        <w:tc>
          <w:tcPr>
            <w:tcW w:w="1712" w:type="dxa"/>
            <w:noWrap/>
            <w:vAlign w:val="center"/>
          </w:tcPr>
          <w:p w14:paraId="5DD164E5" w14:textId="77777777" w:rsidR="00827512" w:rsidRDefault="00827512" w:rsidP="009643E0">
            <w:pPr>
              <w:jc w:val="center"/>
              <w:rPr>
                <w:kern w:val="0"/>
                <w:szCs w:val="21"/>
              </w:rPr>
            </w:pPr>
            <w:r>
              <w:rPr>
                <w:rFonts w:ascii="宋体" w:hAnsi="宋体" w:cs="宋体" w:hint="eastAsia"/>
                <w:color w:val="000000"/>
                <w:kern w:val="0"/>
                <w:szCs w:val="21"/>
                <w:lang w:bidi="ar"/>
              </w:rPr>
              <w:t>3218621.332</w:t>
            </w:r>
          </w:p>
        </w:tc>
        <w:tc>
          <w:tcPr>
            <w:tcW w:w="1772" w:type="dxa"/>
            <w:noWrap/>
            <w:vAlign w:val="center"/>
          </w:tcPr>
          <w:p w14:paraId="45187BA9" w14:textId="77777777" w:rsidR="00827512" w:rsidRDefault="00827512" w:rsidP="009643E0">
            <w:pPr>
              <w:jc w:val="center"/>
              <w:rPr>
                <w:kern w:val="0"/>
                <w:szCs w:val="21"/>
              </w:rPr>
            </w:pPr>
            <w:r>
              <w:rPr>
                <w:rFonts w:ascii="宋体" w:hAnsi="宋体" w:cs="宋体"/>
                <w:color w:val="000000"/>
                <w:kern w:val="0"/>
                <w:szCs w:val="21"/>
                <w:lang w:bidi="ar"/>
              </w:rPr>
              <w:t>40</w:t>
            </w:r>
            <w:r>
              <w:rPr>
                <w:rFonts w:ascii="宋体" w:hAnsi="宋体" w:cs="宋体" w:hint="eastAsia"/>
                <w:color w:val="000000"/>
                <w:kern w:val="0"/>
                <w:szCs w:val="21"/>
                <w:lang w:bidi="ar"/>
              </w:rPr>
              <w:t>456667.161</w:t>
            </w:r>
          </w:p>
        </w:tc>
      </w:tr>
      <w:tr w:rsidR="00827512" w14:paraId="5213DDA2" w14:textId="77777777" w:rsidTr="009643E0">
        <w:trPr>
          <w:trHeight w:val="355"/>
        </w:trPr>
        <w:tc>
          <w:tcPr>
            <w:tcW w:w="8972" w:type="dxa"/>
            <w:gridSpan w:val="6"/>
            <w:noWrap/>
            <w:vAlign w:val="center"/>
          </w:tcPr>
          <w:p w14:paraId="38709513" w14:textId="77777777" w:rsidR="00827512" w:rsidRDefault="00827512" w:rsidP="009643E0">
            <w:pPr>
              <w:widowControl/>
              <w:ind w:leftChars="200" w:left="420"/>
              <w:jc w:val="left"/>
              <w:rPr>
                <w:kern w:val="0"/>
                <w:szCs w:val="21"/>
              </w:rPr>
            </w:pPr>
            <w:r>
              <w:rPr>
                <w:rFonts w:ascii="宋体" w:hAnsi="宋体" w:cs="宋体" w:hint="eastAsia"/>
                <w:kern w:val="0"/>
                <w:sz w:val="24"/>
              </w:rPr>
              <w:t>标高：自+4</w:t>
            </w:r>
            <w:r>
              <w:rPr>
                <w:rFonts w:ascii="宋体" w:hAnsi="宋体" w:cs="宋体"/>
                <w:kern w:val="0"/>
                <w:sz w:val="24"/>
              </w:rPr>
              <w:t>1.31m</w:t>
            </w:r>
            <w:r>
              <w:rPr>
                <w:rFonts w:ascii="宋体" w:hAnsi="宋体" w:cs="宋体" w:hint="eastAsia"/>
                <w:kern w:val="0"/>
                <w:sz w:val="24"/>
              </w:rPr>
              <w:t>至+3</w:t>
            </w:r>
            <w:r>
              <w:rPr>
                <w:rFonts w:ascii="宋体" w:hAnsi="宋体" w:cs="宋体"/>
                <w:kern w:val="0"/>
                <w:sz w:val="24"/>
              </w:rPr>
              <w:t>5.60m</w:t>
            </w:r>
          </w:p>
        </w:tc>
      </w:tr>
    </w:tbl>
    <w:p w14:paraId="04594257" w14:textId="4F744823" w:rsidR="00A72C53" w:rsidRPr="000A328C" w:rsidRDefault="00827512" w:rsidP="000A328C">
      <w:pPr>
        <w:ind w:firstLineChars="200" w:firstLine="482"/>
        <w:jc w:val="center"/>
        <w:rPr>
          <w:rFonts w:ascii="仿宋" w:eastAsia="仿宋" w:hAnsi="仿宋"/>
          <w:sz w:val="28"/>
          <w:szCs w:val="28"/>
        </w:rPr>
      </w:pPr>
      <w:bookmarkStart w:id="5" w:name="_Hlk114498231"/>
      <w:bookmarkEnd w:id="3"/>
      <w:bookmarkEnd w:id="4"/>
      <w:r>
        <w:rPr>
          <w:rFonts w:hint="eastAsia"/>
          <w:b/>
          <w:sz w:val="24"/>
        </w:rPr>
        <w:t>地下室勘查地块主要拐点坐标表</w:t>
      </w:r>
      <w:bookmarkEnd w:id="5"/>
    </w:p>
    <w:p w14:paraId="51562540" w14:textId="2C69B718" w:rsidR="00890730" w:rsidRDefault="0033799D" w:rsidP="00844E2A">
      <w:pPr>
        <w:pStyle w:val="a8"/>
        <w:spacing w:beforeLines="50" w:before="156" w:beforeAutospacing="0" w:afterLines="50" w:after="156" w:afterAutospacing="0" w:line="320" w:lineRule="exact"/>
        <w:ind w:left="720" w:rightChars="-100" w:right="-210" w:hangingChars="300" w:hanging="720"/>
        <w:rPr>
          <w:rFonts w:asciiTheme="majorEastAsia" w:eastAsiaTheme="majorEastAsia" w:hAnsiTheme="majorEastAsia" w:cs="Arial"/>
          <w:color w:val="000000" w:themeColor="text1"/>
        </w:rPr>
      </w:pPr>
      <w:r>
        <w:rPr>
          <w:rStyle w:val="a9"/>
          <w:rFonts w:asciiTheme="majorEastAsia" w:eastAsiaTheme="majorEastAsia" w:hAnsiTheme="majorEastAsia" w:cs="Arial"/>
          <w:b w:val="0"/>
          <w:color w:val="000000" w:themeColor="text1"/>
        </w:rPr>
        <w:t>2.位置：</w:t>
      </w:r>
      <w:r w:rsidR="00FC1236" w:rsidRPr="00FC1236">
        <w:rPr>
          <w:rStyle w:val="a9"/>
          <w:rFonts w:asciiTheme="majorEastAsia" w:eastAsiaTheme="majorEastAsia" w:hAnsiTheme="majorEastAsia" w:cs="Arial" w:hint="eastAsia"/>
          <w:b w:val="0"/>
          <w:bCs w:val="0"/>
          <w:color w:val="000000" w:themeColor="text1"/>
        </w:rPr>
        <w:t>位于金华市婺城区府临</w:t>
      </w:r>
      <w:r w:rsidR="00E84FFC">
        <w:rPr>
          <w:rStyle w:val="a9"/>
          <w:rFonts w:asciiTheme="majorEastAsia" w:eastAsiaTheme="majorEastAsia" w:hAnsiTheme="majorEastAsia" w:cs="Arial" w:hint="eastAsia"/>
          <w:b w:val="0"/>
          <w:bCs w:val="0"/>
          <w:color w:val="000000" w:themeColor="text1"/>
        </w:rPr>
        <w:t>街</w:t>
      </w:r>
      <w:r w:rsidR="00FC1236" w:rsidRPr="00FC1236">
        <w:rPr>
          <w:rStyle w:val="a9"/>
          <w:rFonts w:asciiTheme="majorEastAsia" w:eastAsiaTheme="majorEastAsia" w:hAnsiTheme="majorEastAsia" w:cs="Arial" w:hint="eastAsia"/>
          <w:b w:val="0"/>
          <w:bCs w:val="0"/>
          <w:color w:val="000000" w:themeColor="text1"/>
        </w:rPr>
        <w:t>东侧、马海路北侧，四至：东至新</w:t>
      </w:r>
      <w:r w:rsidR="00FC1236">
        <w:rPr>
          <w:rStyle w:val="a9"/>
          <w:rFonts w:asciiTheme="majorEastAsia" w:eastAsiaTheme="majorEastAsia" w:hAnsiTheme="majorEastAsia" w:cs="Arial" w:hint="eastAsia"/>
          <w:b w:val="0"/>
          <w:bCs w:val="0"/>
          <w:color w:val="000000" w:themeColor="text1"/>
        </w:rPr>
        <w:t>宇.宏腾生活广场，南至马海路，西至府临街，北至金华市婺城区人民医院</w:t>
      </w:r>
      <w:r w:rsidR="00FC1236">
        <w:rPr>
          <w:rFonts w:hint="eastAsia"/>
          <w:color w:val="000000" w:themeColor="text1"/>
        </w:rPr>
        <w:t>.</w:t>
      </w:r>
    </w:p>
    <w:p w14:paraId="70DFF7F7"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二、拍卖公告</w:t>
      </w:r>
    </w:p>
    <w:p w14:paraId="5B38B843"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1.本次拍卖，拍卖人在金华市</w:t>
      </w:r>
      <w:r>
        <w:rPr>
          <w:rFonts w:asciiTheme="majorEastAsia" w:eastAsiaTheme="majorEastAsia" w:hAnsiTheme="majorEastAsia" w:cs="Arial" w:hint="eastAsia"/>
          <w:color w:val="000000" w:themeColor="text1"/>
        </w:rPr>
        <w:t>婺城区公共资源交易网</w:t>
      </w:r>
      <w:r>
        <w:rPr>
          <w:rFonts w:asciiTheme="majorEastAsia" w:eastAsiaTheme="majorEastAsia" w:hAnsiTheme="majorEastAsia" w:cs="Arial"/>
          <w:color w:val="000000" w:themeColor="text1"/>
        </w:rPr>
        <w:t>发布了《拍卖公告》(附拍卖公告)，并展示了拍卖标的。</w:t>
      </w:r>
    </w:p>
    <w:p w14:paraId="2A01D428"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9"/>
          <w:rFonts w:asciiTheme="majorEastAsia" w:eastAsiaTheme="majorEastAsia" w:hAnsiTheme="majorEastAsia" w:cs="Arial"/>
          <w:b w:val="0"/>
          <w:color w:val="000000" w:themeColor="text1"/>
        </w:rPr>
        <w:t>2.拍卖人：金华市正得拍卖有限公司</w:t>
      </w:r>
    </w:p>
    <w:p w14:paraId="2334D900" w14:textId="3741796A"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9"/>
          <w:rFonts w:asciiTheme="majorEastAsia" w:eastAsiaTheme="majorEastAsia" w:hAnsiTheme="majorEastAsia" w:cs="Arial"/>
          <w:b w:val="0"/>
          <w:color w:val="000000" w:themeColor="text1"/>
        </w:rPr>
        <w:t>3.拍卖时间：202</w:t>
      </w:r>
      <w:r>
        <w:rPr>
          <w:rStyle w:val="a9"/>
          <w:rFonts w:asciiTheme="majorEastAsia" w:eastAsiaTheme="majorEastAsia" w:hAnsiTheme="majorEastAsia" w:cs="Arial" w:hint="eastAsia"/>
          <w:b w:val="0"/>
          <w:color w:val="000000" w:themeColor="text1"/>
        </w:rPr>
        <w:t>2</w:t>
      </w:r>
      <w:r>
        <w:rPr>
          <w:rStyle w:val="a9"/>
          <w:rFonts w:asciiTheme="majorEastAsia" w:eastAsiaTheme="majorEastAsia" w:hAnsiTheme="majorEastAsia" w:cs="Arial"/>
          <w:b w:val="0"/>
          <w:color w:val="000000" w:themeColor="text1"/>
        </w:rPr>
        <w:t xml:space="preserve">年 </w:t>
      </w:r>
      <w:r w:rsidR="00A72C53">
        <w:rPr>
          <w:rStyle w:val="a9"/>
          <w:rFonts w:asciiTheme="majorEastAsia" w:eastAsiaTheme="majorEastAsia" w:hAnsiTheme="majorEastAsia" w:cs="Arial"/>
          <w:b w:val="0"/>
          <w:color w:val="000000" w:themeColor="text1"/>
        </w:rPr>
        <w:t>9</w:t>
      </w:r>
      <w:r>
        <w:rPr>
          <w:rStyle w:val="a9"/>
          <w:rFonts w:asciiTheme="majorEastAsia" w:eastAsiaTheme="majorEastAsia" w:hAnsiTheme="majorEastAsia" w:cs="Arial" w:hint="eastAsia"/>
          <w:b w:val="0"/>
          <w:color w:val="000000" w:themeColor="text1"/>
        </w:rPr>
        <w:t xml:space="preserve"> </w:t>
      </w:r>
      <w:r>
        <w:rPr>
          <w:rStyle w:val="a9"/>
          <w:rFonts w:asciiTheme="majorEastAsia" w:eastAsiaTheme="majorEastAsia" w:hAnsiTheme="majorEastAsia" w:cs="Arial"/>
          <w:b w:val="0"/>
          <w:color w:val="000000" w:themeColor="text1"/>
        </w:rPr>
        <w:t>月</w:t>
      </w:r>
      <w:r w:rsidR="008F470A">
        <w:rPr>
          <w:rStyle w:val="a9"/>
          <w:rFonts w:asciiTheme="majorEastAsia" w:eastAsiaTheme="majorEastAsia" w:hAnsiTheme="majorEastAsia" w:cs="Arial"/>
          <w:b w:val="0"/>
          <w:color w:val="000000" w:themeColor="text1"/>
        </w:rPr>
        <w:t>30</w:t>
      </w:r>
      <w:r>
        <w:rPr>
          <w:rStyle w:val="a9"/>
          <w:rFonts w:asciiTheme="majorEastAsia" w:eastAsiaTheme="majorEastAsia" w:hAnsiTheme="majorEastAsia" w:cs="Arial"/>
          <w:b w:val="0"/>
          <w:color w:val="000000" w:themeColor="text1"/>
        </w:rPr>
        <w:t>日</w:t>
      </w:r>
      <w:r>
        <w:rPr>
          <w:rStyle w:val="a9"/>
          <w:rFonts w:asciiTheme="majorEastAsia" w:eastAsiaTheme="majorEastAsia" w:hAnsiTheme="majorEastAsia" w:cs="Arial" w:hint="eastAsia"/>
          <w:b w:val="0"/>
          <w:color w:val="000000" w:themeColor="text1"/>
        </w:rPr>
        <w:t xml:space="preserve"> </w:t>
      </w:r>
      <w:r>
        <w:rPr>
          <w:rStyle w:val="a9"/>
          <w:rFonts w:asciiTheme="majorEastAsia" w:eastAsiaTheme="majorEastAsia" w:hAnsiTheme="majorEastAsia" w:cs="Arial"/>
          <w:b w:val="0"/>
          <w:color w:val="000000" w:themeColor="text1"/>
        </w:rPr>
        <w:t>上午</w:t>
      </w:r>
      <w:r>
        <w:rPr>
          <w:rStyle w:val="a9"/>
          <w:rFonts w:asciiTheme="majorEastAsia" w:eastAsiaTheme="majorEastAsia" w:hAnsiTheme="majorEastAsia" w:cs="Arial" w:hint="eastAsia"/>
          <w:b w:val="0"/>
          <w:color w:val="000000" w:themeColor="text1"/>
        </w:rPr>
        <w:t>十时</w:t>
      </w:r>
    </w:p>
    <w:p w14:paraId="3D75A001" w14:textId="5DF41EA3" w:rsidR="00890730" w:rsidRDefault="0033799D" w:rsidP="00844E2A">
      <w:pPr>
        <w:pStyle w:val="a8"/>
        <w:spacing w:beforeLines="50" w:before="156" w:beforeAutospacing="0" w:afterLines="50" w:after="156" w:afterAutospacing="0" w:line="320" w:lineRule="exact"/>
        <w:ind w:leftChars="-100" w:left="-210" w:rightChars="-100" w:right="-210"/>
        <w:rPr>
          <w:color w:val="000000" w:themeColor="text1"/>
        </w:rPr>
      </w:pPr>
      <w:r>
        <w:rPr>
          <w:rStyle w:val="a9"/>
          <w:rFonts w:asciiTheme="majorEastAsia" w:eastAsiaTheme="majorEastAsia" w:hAnsiTheme="majorEastAsia" w:cs="Arial"/>
          <w:b w:val="0"/>
          <w:color w:val="000000" w:themeColor="text1"/>
        </w:rPr>
        <w:t>4.拍卖地点：</w:t>
      </w:r>
      <w:r>
        <w:rPr>
          <w:rFonts w:hint="eastAsia"/>
          <w:color w:val="000000" w:themeColor="text1"/>
        </w:rPr>
        <w:t>金华市李渔路1103号宝莲广场A座</w:t>
      </w:r>
      <w:r w:rsidR="00AA231F">
        <w:rPr>
          <w:color w:val="000000" w:themeColor="text1"/>
        </w:rPr>
        <w:t>11</w:t>
      </w:r>
      <w:r>
        <w:rPr>
          <w:rFonts w:hint="eastAsia"/>
          <w:color w:val="000000" w:themeColor="text1"/>
        </w:rPr>
        <w:t>楼会议室</w:t>
      </w:r>
    </w:p>
    <w:p w14:paraId="64881962"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三、竞买手续</w:t>
      </w:r>
    </w:p>
    <w:p w14:paraId="5442A855"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9"/>
          <w:rFonts w:asciiTheme="majorEastAsia" w:eastAsiaTheme="majorEastAsia" w:hAnsiTheme="majorEastAsia" w:cs="Arial"/>
          <w:b w:val="0"/>
          <w:color w:val="000000" w:themeColor="text1"/>
        </w:rPr>
        <w:lastRenderedPageBreak/>
        <w:t>1.竞买人资格要求</w:t>
      </w:r>
    </w:p>
    <w:p w14:paraId="1C4095A7" w14:textId="77777777" w:rsidR="00890730" w:rsidRPr="00844E2A" w:rsidRDefault="0033799D">
      <w:pPr>
        <w:widowControl/>
        <w:spacing w:before="156" w:after="156" w:line="340" w:lineRule="exact"/>
        <w:jc w:val="left"/>
        <w:textAlignment w:val="baseline"/>
        <w:rPr>
          <w:rFonts w:cs="宋体"/>
          <w:bCs/>
          <w:color w:val="000000" w:themeColor="text1"/>
          <w:kern w:val="0"/>
          <w:sz w:val="24"/>
          <w:szCs w:val="24"/>
        </w:rPr>
      </w:pPr>
      <w:r>
        <w:rPr>
          <w:rFonts w:asciiTheme="majorEastAsia" w:eastAsiaTheme="majorEastAsia" w:hAnsiTheme="majorEastAsia" w:cs="宋体"/>
          <w:color w:val="000000" w:themeColor="text1"/>
          <w:kern w:val="0"/>
          <w:sz w:val="24"/>
          <w:szCs w:val="24"/>
        </w:rPr>
        <w:t>1、</w:t>
      </w:r>
      <w:r>
        <w:rPr>
          <w:rFonts w:cs="宋体" w:hint="eastAsia"/>
          <w:color w:val="000000" w:themeColor="text1"/>
          <w:kern w:val="0"/>
          <w:sz w:val="24"/>
          <w:szCs w:val="24"/>
        </w:rPr>
        <w:t>竞买人须具备</w:t>
      </w:r>
      <w:r w:rsidRPr="00844E2A">
        <w:rPr>
          <w:rFonts w:cs="宋体" w:hint="eastAsia"/>
          <w:bCs/>
          <w:color w:val="000000" w:themeColor="text1"/>
          <w:sz w:val="24"/>
          <w:szCs w:val="24"/>
        </w:rPr>
        <w:t>砂石料经营运输能力的企业，并在人员、设备、资金等方面具有相应能力</w:t>
      </w:r>
      <w:r w:rsidRPr="00844E2A">
        <w:rPr>
          <w:rFonts w:cs="宋体" w:hint="eastAsia"/>
          <w:bCs/>
          <w:color w:val="000000" w:themeColor="text1"/>
          <w:kern w:val="0"/>
          <w:sz w:val="24"/>
          <w:szCs w:val="24"/>
        </w:rPr>
        <w:t>。报名时须提供</w:t>
      </w:r>
      <w:r w:rsidRPr="00844E2A">
        <w:rPr>
          <w:rFonts w:cs="宋体" w:hint="eastAsia"/>
          <w:bCs/>
          <w:color w:val="000000" w:themeColor="text1"/>
          <w:sz w:val="24"/>
          <w:szCs w:val="24"/>
        </w:rPr>
        <w:t>经年检合格的企业营业执照副本、法定代表人授权委托书及委托代理人身份证明（委托书上注明联系电话）</w:t>
      </w:r>
    </w:p>
    <w:p w14:paraId="74B9FA29" w14:textId="77777777" w:rsidR="00890730" w:rsidRDefault="0033799D" w:rsidP="00844E2A">
      <w:pPr>
        <w:widowControl/>
        <w:spacing w:beforeLines="50" w:before="156" w:afterLines="50" w:after="156" w:line="320" w:lineRule="exact"/>
        <w:ind w:leftChars="-100" w:left="-210" w:rightChars="-100" w:right="-210"/>
        <w:jc w:val="left"/>
        <w:rPr>
          <w:rFonts w:asciiTheme="majorEastAsia" w:eastAsiaTheme="majorEastAsia" w:hAnsiTheme="majorEastAsia" w:cs="宋体"/>
          <w:color w:val="000000" w:themeColor="text1"/>
          <w:kern w:val="0"/>
          <w:sz w:val="24"/>
          <w:szCs w:val="24"/>
        </w:rPr>
      </w:pPr>
      <w:r>
        <w:rPr>
          <w:rFonts w:asciiTheme="majorEastAsia" w:eastAsiaTheme="majorEastAsia" w:hAnsiTheme="majorEastAsia" w:cs="宋体"/>
          <w:color w:val="000000" w:themeColor="text1"/>
          <w:kern w:val="0"/>
          <w:sz w:val="24"/>
          <w:szCs w:val="24"/>
        </w:rPr>
        <w:t>2、报名手续</w:t>
      </w:r>
    </w:p>
    <w:p w14:paraId="1DBEF693" w14:textId="0CF0A7BE" w:rsidR="00890730" w:rsidRDefault="0033799D">
      <w:pPr>
        <w:widowControl/>
        <w:spacing w:before="156" w:after="156" w:line="340" w:lineRule="exact"/>
        <w:ind w:left="105"/>
        <w:jc w:val="left"/>
        <w:textAlignment w:val="baseline"/>
        <w:rPr>
          <w:rFonts w:cs="宋体"/>
          <w:color w:val="000000" w:themeColor="text1"/>
          <w:kern w:val="0"/>
          <w:sz w:val="24"/>
          <w:szCs w:val="24"/>
        </w:rPr>
      </w:pPr>
      <w:r>
        <w:rPr>
          <w:rFonts w:asciiTheme="majorEastAsia" w:eastAsiaTheme="majorEastAsia" w:hAnsiTheme="majorEastAsia" w:cs="Arial"/>
          <w:color w:val="000000" w:themeColor="text1"/>
          <w:sz w:val="24"/>
          <w:szCs w:val="24"/>
        </w:rPr>
        <w:t>具备竞买资格的竞买人在</w:t>
      </w:r>
      <w:r>
        <w:rPr>
          <w:rFonts w:hint="eastAsia"/>
          <w:color w:val="000000" w:themeColor="text1"/>
          <w:sz w:val="24"/>
          <w:szCs w:val="24"/>
        </w:rPr>
        <w:t>2022</w:t>
      </w:r>
      <w:r>
        <w:rPr>
          <w:rFonts w:hint="eastAsia"/>
          <w:color w:val="000000" w:themeColor="text1"/>
          <w:sz w:val="24"/>
          <w:szCs w:val="24"/>
        </w:rPr>
        <w:t>年</w:t>
      </w:r>
      <w:r>
        <w:rPr>
          <w:rFonts w:hint="eastAsia"/>
          <w:color w:val="000000" w:themeColor="text1"/>
          <w:sz w:val="24"/>
          <w:szCs w:val="24"/>
        </w:rPr>
        <w:t xml:space="preserve"> </w:t>
      </w:r>
      <w:r w:rsidR="00A72C53">
        <w:rPr>
          <w:color w:val="000000" w:themeColor="text1"/>
          <w:sz w:val="24"/>
          <w:szCs w:val="24"/>
        </w:rPr>
        <w:t>9</w:t>
      </w:r>
      <w:r>
        <w:rPr>
          <w:rFonts w:hint="eastAsia"/>
          <w:color w:val="000000" w:themeColor="text1"/>
          <w:sz w:val="24"/>
          <w:szCs w:val="24"/>
        </w:rPr>
        <w:t>月</w:t>
      </w:r>
      <w:r>
        <w:rPr>
          <w:rFonts w:hint="eastAsia"/>
          <w:color w:val="000000" w:themeColor="text1"/>
          <w:sz w:val="24"/>
          <w:szCs w:val="24"/>
        </w:rPr>
        <w:t xml:space="preserve"> </w:t>
      </w:r>
      <w:r w:rsidR="00A72C53">
        <w:rPr>
          <w:color w:val="000000" w:themeColor="text1"/>
          <w:sz w:val="24"/>
          <w:szCs w:val="24"/>
        </w:rPr>
        <w:t>29</w:t>
      </w:r>
      <w:r>
        <w:rPr>
          <w:rFonts w:hint="eastAsia"/>
          <w:color w:val="000000" w:themeColor="text1"/>
          <w:sz w:val="24"/>
          <w:szCs w:val="24"/>
        </w:rPr>
        <w:t>日</w:t>
      </w:r>
      <w:r>
        <w:rPr>
          <w:rFonts w:hint="eastAsia"/>
          <w:color w:val="000000" w:themeColor="text1"/>
          <w:sz w:val="24"/>
          <w:szCs w:val="24"/>
        </w:rPr>
        <w:t>16</w:t>
      </w:r>
      <w:r>
        <w:rPr>
          <w:rFonts w:hint="eastAsia"/>
          <w:color w:val="000000" w:themeColor="text1"/>
          <w:sz w:val="24"/>
          <w:szCs w:val="24"/>
        </w:rPr>
        <w:t>：</w:t>
      </w:r>
      <w:r>
        <w:rPr>
          <w:rFonts w:hint="eastAsia"/>
          <w:color w:val="000000" w:themeColor="text1"/>
          <w:sz w:val="24"/>
          <w:szCs w:val="24"/>
        </w:rPr>
        <w:t>30</w:t>
      </w:r>
      <w:r>
        <w:rPr>
          <w:rFonts w:hint="eastAsia"/>
          <w:color w:val="000000" w:themeColor="text1"/>
          <w:sz w:val="24"/>
          <w:szCs w:val="24"/>
        </w:rPr>
        <w:t>时前</w:t>
      </w:r>
      <w:r>
        <w:rPr>
          <w:rFonts w:cs="宋体" w:hint="eastAsia"/>
          <w:color w:val="000000" w:themeColor="text1"/>
          <w:kern w:val="0"/>
          <w:sz w:val="24"/>
          <w:szCs w:val="24"/>
        </w:rPr>
        <w:t>将竞买保证金缴纳至以下账户</w:t>
      </w:r>
      <w:r>
        <w:rPr>
          <w:rFonts w:cs="宋体" w:hint="eastAsia"/>
          <w:color w:val="000000" w:themeColor="text1"/>
          <w:kern w:val="0"/>
          <w:sz w:val="24"/>
          <w:szCs w:val="24"/>
        </w:rPr>
        <w:t>:</w:t>
      </w:r>
      <w:r>
        <w:rPr>
          <w:rFonts w:cs="宋体" w:hint="eastAsia"/>
          <w:color w:val="000000" w:themeColor="text1"/>
          <w:kern w:val="0"/>
          <w:sz w:val="24"/>
          <w:szCs w:val="24"/>
        </w:rPr>
        <w:t>户名：</w:t>
      </w:r>
      <w:r>
        <w:rPr>
          <w:rStyle w:val="NormalCharacter"/>
          <w:color w:val="000000" w:themeColor="text1"/>
          <w:sz w:val="24"/>
          <w:szCs w:val="24"/>
        </w:rPr>
        <w:t>金华市正得拍卖有限公司</w:t>
      </w:r>
      <w:r>
        <w:rPr>
          <w:rFonts w:ascii="宋体" w:eastAsia="宋体" w:hAnsi="宋体" w:cs="宋体" w:hint="eastAsia"/>
          <w:color w:val="000000" w:themeColor="text1"/>
          <w:sz w:val="24"/>
          <w:szCs w:val="24"/>
        </w:rPr>
        <w:t>;</w:t>
      </w:r>
      <w:r>
        <w:rPr>
          <w:rFonts w:cs="宋体" w:hint="eastAsia"/>
          <w:color w:val="000000" w:themeColor="text1"/>
          <w:kern w:val="0"/>
          <w:sz w:val="24"/>
          <w:szCs w:val="24"/>
        </w:rPr>
        <w:t>开户行：</w:t>
      </w:r>
      <w:r>
        <w:rPr>
          <w:rStyle w:val="NormalCharacter"/>
          <w:color w:val="000000" w:themeColor="text1"/>
          <w:sz w:val="24"/>
          <w:szCs w:val="24"/>
        </w:rPr>
        <w:t>中国银行金华市分行</w:t>
      </w:r>
      <w:r>
        <w:rPr>
          <w:rFonts w:cs="宋体" w:hint="eastAsia"/>
          <w:color w:val="000000" w:themeColor="text1"/>
          <w:kern w:val="0"/>
          <w:sz w:val="24"/>
          <w:szCs w:val="24"/>
        </w:rPr>
        <w:t xml:space="preserve"> </w:t>
      </w:r>
      <w:r>
        <w:rPr>
          <w:rFonts w:cs="宋体" w:hint="eastAsia"/>
          <w:color w:val="000000" w:themeColor="text1"/>
          <w:kern w:val="0"/>
          <w:sz w:val="24"/>
          <w:szCs w:val="24"/>
        </w:rPr>
        <w:t>，账号：</w:t>
      </w:r>
      <w:r>
        <w:rPr>
          <w:rStyle w:val="NormalCharacter"/>
          <w:color w:val="000000" w:themeColor="text1"/>
          <w:sz w:val="24"/>
          <w:szCs w:val="24"/>
        </w:rPr>
        <w:t>366258336701</w:t>
      </w:r>
      <w:r>
        <w:rPr>
          <w:rFonts w:cs="宋体" w:hint="eastAsia"/>
          <w:color w:val="000000" w:themeColor="text1"/>
          <w:kern w:val="0"/>
          <w:sz w:val="24"/>
          <w:szCs w:val="24"/>
        </w:rPr>
        <w:t xml:space="preserve"> </w:t>
      </w:r>
      <w:r>
        <w:rPr>
          <w:rFonts w:cs="宋体" w:hint="eastAsia"/>
          <w:color w:val="000000" w:themeColor="text1"/>
          <w:kern w:val="0"/>
          <w:sz w:val="24"/>
          <w:szCs w:val="24"/>
        </w:rPr>
        <w:t>，并持相关证件及汇款凭证，到金华市李渔路</w:t>
      </w:r>
      <w:r>
        <w:rPr>
          <w:rFonts w:cs="宋体" w:hint="eastAsia"/>
          <w:color w:val="000000" w:themeColor="text1"/>
          <w:kern w:val="0"/>
          <w:sz w:val="24"/>
          <w:szCs w:val="24"/>
        </w:rPr>
        <w:t>1103</w:t>
      </w:r>
      <w:r>
        <w:rPr>
          <w:rFonts w:cs="宋体" w:hint="eastAsia"/>
          <w:color w:val="000000" w:themeColor="text1"/>
          <w:kern w:val="0"/>
          <w:sz w:val="24"/>
          <w:szCs w:val="24"/>
        </w:rPr>
        <w:t>号宝莲广场</w:t>
      </w:r>
      <w:r>
        <w:rPr>
          <w:rFonts w:cs="宋体" w:hint="eastAsia"/>
          <w:color w:val="000000" w:themeColor="text1"/>
          <w:kern w:val="0"/>
          <w:sz w:val="24"/>
          <w:szCs w:val="24"/>
        </w:rPr>
        <w:t>A</w:t>
      </w:r>
      <w:r>
        <w:rPr>
          <w:rFonts w:cs="宋体" w:hint="eastAsia"/>
          <w:color w:val="000000" w:themeColor="text1"/>
          <w:kern w:val="0"/>
          <w:sz w:val="24"/>
          <w:szCs w:val="24"/>
        </w:rPr>
        <w:t>座</w:t>
      </w:r>
      <w:r w:rsidR="00AA231F">
        <w:rPr>
          <w:rFonts w:cs="宋体"/>
          <w:color w:val="000000" w:themeColor="text1"/>
          <w:kern w:val="0"/>
          <w:sz w:val="24"/>
          <w:szCs w:val="24"/>
        </w:rPr>
        <w:t>11</w:t>
      </w:r>
      <w:r>
        <w:rPr>
          <w:rFonts w:cs="宋体" w:hint="eastAsia"/>
          <w:color w:val="000000" w:themeColor="text1"/>
          <w:kern w:val="0"/>
          <w:sz w:val="24"/>
          <w:szCs w:val="24"/>
        </w:rPr>
        <w:t>楼金华市正得拍卖有限公司办理报名登记手续。</w:t>
      </w:r>
      <w:r>
        <w:rPr>
          <w:rFonts w:asciiTheme="majorEastAsia" w:eastAsiaTheme="majorEastAsia" w:hAnsiTheme="majorEastAsia" w:cs="Arial"/>
          <w:color w:val="000000" w:themeColor="text1"/>
          <w:sz w:val="24"/>
          <w:szCs w:val="24"/>
        </w:rPr>
        <w:t>竞买人应交纳竞买保证金履行报名手续并取得竞买号牌后方能参加竞买</w:t>
      </w:r>
      <w:r>
        <w:rPr>
          <w:rFonts w:asciiTheme="majorEastAsia" w:eastAsiaTheme="majorEastAsia" w:hAnsiTheme="majorEastAsia" w:cs="Arial" w:hint="eastAsia"/>
          <w:color w:val="000000" w:themeColor="text1"/>
          <w:sz w:val="24"/>
          <w:szCs w:val="24"/>
        </w:rPr>
        <w:t>.</w:t>
      </w:r>
    </w:p>
    <w:p w14:paraId="42062CA9" w14:textId="77777777" w:rsidR="00890730" w:rsidRDefault="00890730" w:rsidP="00844E2A">
      <w:pPr>
        <w:widowControl/>
        <w:spacing w:beforeLines="50" w:before="156" w:afterLines="50" w:after="156" w:line="320" w:lineRule="exact"/>
        <w:ind w:leftChars="-100" w:left="-210" w:rightChars="-100" w:right="-210"/>
        <w:jc w:val="left"/>
        <w:rPr>
          <w:rFonts w:asciiTheme="majorEastAsia" w:eastAsiaTheme="majorEastAsia" w:hAnsiTheme="majorEastAsia" w:cs="宋体"/>
          <w:color w:val="000000" w:themeColor="text1"/>
          <w:kern w:val="0"/>
          <w:sz w:val="24"/>
          <w:szCs w:val="24"/>
        </w:rPr>
      </w:pPr>
    </w:p>
    <w:p w14:paraId="01EC1F46"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Style w:val="a9"/>
          <w:rFonts w:asciiTheme="majorEastAsia" w:eastAsiaTheme="majorEastAsia" w:hAnsiTheme="majorEastAsia" w:cs="Arial"/>
          <w:b w:val="0"/>
          <w:color w:val="000000" w:themeColor="text1"/>
        </w:rPr>
        <w:t>3.竞买保证金</w:t>
      </w:r>
    </w:p>
    <w:p w14:paraId="5A7865AB" w14:textId="231D3F9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u w:val="single"/>
        </w:rPr>
      </w:pPr>
      <w:r>
        <w:rPr>
          <w:rFonts w:asciiTheme="majorEastAsia" w:eastAsiaTheme="majorEastAsia" w:hAnsiTheme="majorEastAsia" w:cs="Arial"/>
          <w:color w:val="000000" w:themeColor="text1"/>
        </w:rPr>
        <w:t>竞买保证金</w:t>
      </w:r>
      <w:r>
        <w:rPr>
          <w:rFonts w:asciiTheme="majorEastAsia" w:eastAsiaTheme="majorEastAsia" w:hAnsiTheme="majorEastAsia" w:cs="Arial" w:hint="eastAsia"/>
          <w:color w:val="000000" w:themeColor="text1"/>
        </w:rPr>
        <w:t xml:space="preserve"> </w:t>
      </w:r>
      <w:r w:rsidR="000A328C">
        <w:rPr>
          <w:rFonts w:asciiTheme="majorEastAsia" w:eastAsiaTheme="majorEastAsia" w:hAnsiTheme="majorEastAsia" w:cs="Arial"/>
          <w:color w:val="000000" w:themeColor="text1"/>
          <w:u w:val="single"/>
        </w:rPr>
        <w:t>10</w:t>
      </w:r>
      <w:r>
        <w:rPr>
          <w:rFonts w:asciiTheme="majorEastAsia" w:eastAsiaTheme="majorEastAsia" w:hAnsiTheme="majorEastAsia" w:cs="Arial" w:hint="eastAsia"/>
          <w:color w:val="000000" w:themeColor="text1"/>
          <w:u w:val="single"/>
        </w:rPr>
        <w:t xml:space="preserve"> </w:t>
      </w:r>
      <w:r>
        <w:rPr>
          <w:rFonts w:asciiTheme="majorEastAsia" w:eastAsiaTheme="majorEastAsia" w:hAnsiTheme="majorEastAsia" w:cs="Arial"/>
          <w:color w:val="000000" w:themeColor="text1"/>
        </w:rPr>
        <w:t>万元。如未竞买成功，由拍卖人在拍卖会结束后3日内无息全额退还。买受人竞买保证金在买受人足额缴纳拍卖佣金、履约保证金</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拍卖成交款、并签订砂石料出让合同后3日内无息全额退还。</w:t>
      </w:r>
    </w:p>
    <w:p w14:paraId="57E13587" w14:textId="77777777" w:rsidR="00890730" w:rsidRDefault="0033799D" w:rsidP="00844E2A">
      <w:pPr>
        <w:shd w:val="solid" w:color="FFFFFF" w:fill="auto"/>
        <w:autoSpaceDN w:val="0"/>
        <w:spacing w:beforeLines="50" w:before="156" w:afterLines="50" w:after="156" w:line="320" w:lineRule="exact"/>
        <w:ind w:leftChars="-100" w:left="-210" w:rightChars="-100" w:right="-210"/>
        <w:jc w:val="left"/>
        <w:textAlignment w:val="baseline"/>
        <w:rPr>
          <w:rFonts w:asciiTheme="majorEastAsia" w:eastAsiaTheme="majorEastAsia" w:hAnsiTheme="majorEastAsia" w:cs="Arial"/>
          <w:color w:val="000000" w:themeColor="text1"/>
          <w:sz w:val="24"/>
          <w:szCs w:val="24"/>
        </w:rPr>
      </w:pPr>
      <w:r>
        <w:rPr>
          <w:rFonts w:asciiTheme="majorEastAsia" w:eastAsiaTheme="majorEastAsia" w:hAnsiTheme="majorEastAsia" w:cs="Arial"/>
          <w:b/>
          <w:color w:val="000000" w:themeColor="text1"/>
          <w:sz w:val="24"/>
          <w:szCs w:val="24"/>
        </w:rPr>
        <w:t>四、拍卖人声明</w:t>
      </w:r>
    </w:p>
    <w:p w14:paraId="75CF55CE"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拍卖标的的品质等以其现状为准。竞买人有权亦应当在拍卖人公告的时间、地点查阅拍卖标的现有资料，有权亦应当实地察看拍卖标的，了解拍卖标的的权属、品质、数量等情况，进入拍卖会场后，竞买人应视作已行使该项权利。拍卖人采用任何形式对拍卖标的所作的介绍、描述和评论均属参考意见，不构成对标的的任何保证、承诺。除本拍卖人另行出具特别书面意见外，竞买人一经正式报名参加竞买，则表示对拍卖标的的所有现状予以认可，并全部接受拍卖文件规定的条件。拍卖人、委托人不承担拍卖标的的品质瑕疵担保责任（</w:t>
      </w:r>
      <w:r>
        <w:rPr>
          <w:rFonts w:hint="eastAsia"/>
          <w:color w:val="000000" w:themeColor="text1"/>
        </w:rPr>
        <w:t>瑕疵包括但不限于：标的的数量、质量、品质，净储量、净总量、可利用料储量可能低于评估报告及地勘技术报告中已披露的数据</w:t>
      </w:r>
      <w:r>
        <w:rPr>
          <w:rFonts w:asciiTheme="majorEastAsia" w:eastAsiaTheme="majorEastAsia" w:hAnsiTheme="majorEastAsia" w:cs="Arial"/>
          <w:color w:val="000000" w:themeColor="text1"/>
        </w:rPr>
        <w:t>）。</w:t>
      </w:r>
    </w:p>
    <w:p w14:paraId="2E1BB0E7" w14:textId="77777777" w:rsidR="00890730" w:rsidRPr="00844E2A"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 本次拍卖起拍价及成交价均未包含其他费用，</w:t>
      </w:r>
      <w:r w:rsidRPr="00592655">
        <w:rPr>
          <w:rFonts w:asciiTheme="majorEastAsia" w:eastAsiaTheme="majorEastAsia" w:hAnsiTheme="majorEastAsia" w:cs="Arial" w:hint="eastAsia"/>
        </w:rPr>
        <w:t>拍卖标的表土由土建施工总承包单位负责清表,地下砂石矿土方由买受方开挖，买受方自行安排砂石料外运（运输、</w:t>
      </w:r>
      <w:r w:rsidRPr="00844E2A">
        <w:rPr>
          <w:rFonts w:asciiTheme="majorEastAsia" w:eastAsiaTheme="majorEastAsia" w:hAnsiTheme="majorEastAsia" w:cs="Arial" w:hint="eastAsia"/>
          <w:color w:val="000000" w:themeColor="text1"/>
        </w:rPr>
        <w:t>场外堆放等费用自行解决）。</w:t>
      </w:r>
    </w:p>
    <w:p w14:paraId="775E6B80" w14:textId="5A070AB4" w:rsidR="00890730" w:rsidRDefault="0033799D" w:rsidP="001019EE">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3．</w:t>
      </w:r>
      <w:bookmarkStart w:id="6" w:name="_Hlk114559693"/>
      <w:r w:rsidRPr="00844E2A">
        <w:rPr>
          <w:rFonts w:asciiTheme="majorEastAsia" w:eastAsiaTheme="majorEastAsia" w:hAnsiTheme="majorEastAsia" w:cs="Arial" w:hint="eastAsia"/>
          <w:color w:val="000000" w:themeColor="text1"/>
        </w:rPr>
        <w:t>地面现状高程在+</w:t>
      </w:r>
      <w:r w:rsidR="000A328C">
        <w:rPr>
          <w:rFonts w:asciiTheme="majorEastAsia" w:eastAsiaTheme="majorEastAsia" w:hAnsiTheme="majorEastAsia" w:cs="Arial"/>
          <w:color w:val="000000" w:themeColor="text1"/>
        </w:rPr>
        <w:t>42.16</w:t>
      </w:r>
      <w:r w:rsidRPr="00844E2A">
        <w:rPr>
          <w:rFonts w:asciiTheme="majorEastAsia" w:eastAsiaTheme="majorEastAsia" w:hAnsiTheme="majorEastAsia" w:cs="Arial" w:hint="eastAsia"/>
          <w:color w:val="000000" w:themeColor="text1"/>
        </w:rPr>
        <w:t>m～+</w:t>
      </w:r>
      <w:r w:rsidR="000A328C">
        <w:rPr>
          <w:rFonts w:asciiTheme="majorEastAsia" w:eastAsiaTheme="majorEastAsia" w:hAnsiTheme="majorEastAsia" w:cs="Arial"/>
          <w:color w:val="000000" w:themeColor="text1"/>
        </w:rPr>
        <w:t>42.63</w:t>
      </w:r>
      <w:r w:rsidRPr="00844E2A">
        <w:rPr>
          <w:rFonts w:asciiTheme="majorEastAsia" w:eastAsiaTheme="majorEastAsia" w:hAnsiTheme="majorEastAsia" w:cs="Arial" w:hint="eastAsia"/>
          <w:color w:val="000000" w:themeColor="text1"/>
        </w:rPr>
        <w:t>m之间，开采高程在+</w:t>
      </w:r>
      <w:r w:rsidR="004B5FF2">
        <w:rPr>
          <w:rFonts w:asciiTheme="majorEastAsia" w:eastAsiaTheme="majorEastAsia" w:hAnsiTheme="majorEastAsia" w:cs="Arial"/>
          <w:color w:val="000000" w:themeColor="text1"/>
        </w:rPr>
        <w:t>35.60</w:t>
      </w:r>
      <w:r w:rsidRPr="00844E2A">
        <w:rPr>
          <w:rFonts w:asciiTheme="majorEastAsia" w:eastAsiaTheme="majorEastAsia" w:hAnsiTheme="majorEastAsia" w:cs="Arial" w:hint="eastAsia"/>
          <w:color w:val="000000" w:themeColor="text1"/>
        </w:rPr>
        <w:t>m～+</w:t>
      </w:r>
      <w:r w:rsidR="004B5FF2">
        <w:rPr>
          <w:rFonts w:asciiTheme="majorEastAsia" w:eastAsiaTheme="majorEastAsia" w:hAnsiTheme="majorEastAsia" w:cs="Arial"/>
          <w:color w:val="000000" w:themeColor="text1"/>
        </w:rPr>
        <w:t>41.31</w:t>
      </w:r>
      <w:r w:rsidRPr="00844E2A">
        <w:rPr>
          <w:rFonts w:asciiTheme="majorEastAsia" w:eastAsiaTheme="majorEastAsia" w:hAnsiTheme="majorEastAsia" w:cs="Arial" w:hint="eastAsia"/>
          <w:color w:val="000000" w:themeColor="text1"/>
        </w:rPr>
        <w:t>m之间。基坑开挖范围中矿层顶面标高+</w:t>
      </w:r>
      <w:r w:rsidR="004B5FF2">
        <w:rPr>
          <w:rFonts w:asciiTheme="majorEastAsia" w:eastAsiaTheme="majorEastAsia" w:hAnsiTheme="majorEastAsia" w:cs="Arial"/>
          <w:color w:val="000000" w:themeColor="text1"/>
        </w:rPr>
        <w:t>37.39</w:t>
      </w:r>
      <w:r w:rsidRPr="00844E2A">
        <w:rPr>
          <w:rFonts w:asciiTheme="majorEastAsia" w:eastAsiaTheme="majorEastAsia" w:hAnsiTheme="majorEastAsia" w:cs="Arial" w:hint="eastAsia"/>
          <w:color w:val="000000" w:themeColor="text1"/>
        </w:rPr>
        <w:t>～+</w:t>
      </w:r>
      <w:r w:rsidR="004B5FF2">
        <w:rPr>
          <w:rFonts w:asciiTheme="majorEastAsia" w:eastAsiaTheme="majorEastAsia" w:hAnsiTheme="majorEastAsia" w:cs="Arial"/>
          <w:color w:val="000000" w:themeColor="text1"/>
        </w:rPr>
        <w:t>41.31</w:t>
      </w:r>
      <w:r w:rsidRPr="00844E2A">
        <w:rPr>
          <w:rFonts w:asciiTheme="majorEastAsia" w:eastAsiaTheme="majorEastAsia" w:hAnsiTheme="majorEastAsia" w:cs="Arial" w:hint="eastAsia"/>
          <w:color w:val="000000" w:themeColor="text1"/>
        </w:rPr>
        <w:t>m，埋藏深度</w:t>
      </w:r>
      <w:r w:rsidR="004B5FF2">
        <w:rPr>
          <w:rFonts w:asciiTheme="majorEastAsia" w:eastAsiaTheme="majorEastAsia" w:hAnsiTheme="majorEastAsia" w:cs="Arial"/>
          <w:color w:val="000000" w:themeColor="text1"/>
        </w:rPr>
        <w:t>1.20</w:t>
      </w:r>
      <w:r w:rsidRPr="00844E2A">
        <w:rPr>
          <w:rFonts w:asciiTheme="majorEastAsia" w:eastAsiaTheme="majorEastAsia" w:hAnsiTheme="majorEastAsia" w:cs="Arial" w:hint="eastAsia"/>
          <w:color w:val="000000" w:themeColor="text1"/>
        </w:rPr>
        <w:t>～</w:t>
      </w:r>
      <w:r w:rsidR="004B5FF2">
        <w:rPr>
          <w:rFonts w:asciiTheme="majorEastAsia" w:eastAsiaTheme="majorEastAsia" w:hAnsiTheme="majorEastAsia" w:cs="Arial"/>
          <w:color w:val="000000" w:themeColor="text1"/>
        </w:rPr>
        <w:t>5.0</w:t>
      </w:r>
      <w:r w:rsidRPr="00844E2A">
        <w:rPr>
          <w:rFonts w:asciiTheme="majorEastAsia" w:eastAsiaTheme="majorEastAsia" w:hAnsiTheme="majorEastAsia" w:cs="Arial" w:hint="eastAsia"/>
          <w:color w:val="000000" w:themeColor="text1"/>
        </w:rPr>
        <w:t>m，矿层厚度</w:t>
      </w:r>
      <w:r w:rsidR="004B5FF2">
        <w:rPr>
          <w:rFonts w:asciiTheme="majorEastAsia" w:eastAsiaTheme="majorEastAsia" w:hAnsiTheme="majorEastAsia" w:cs="Arial"/>
          <w:color w:val="000000" w:themeColor="text1"/>
        </w:rPr>
        <w:t>1.79</w:t>
      </w:r>
      <w:r w:rsidRPr="00844E2A">
        <w:rPr>
          <w:rFonts w:asciiTheme="majorEastAsia" w:eastAsiaTheme="majorEastAsia" w:hAnsiTheme="majorEastAsia" w:cs="Arial" w:hint="eastAsia"/>
          <w:color w:val="000000" w:themeColor="text1"/>
        </w:rPr>
        <w:t>～</w:t>
      </w:r>
      <w:r w:rsidR="004B5FF2">
        <w:rPr>
          <w:rFonts w:asciiTheme="majorEastAsia" w:eastAsiaTheme="majorEastAsia" w:hAnsiTheme="majorEastAsia" w:cs="Arial"/>
          <w:color w:val="000000" w:themeColor="text1"/>
        </w:rPr>
        <w:t>5.71</w:t>
      </w:r>
      <w:r w:rsidRPr="00844E2A">
        <w:rPr>
          <w:rFonts w:asciiTheme="majorEastAsia" w:eastAsiaTheme="majorEastAsia" w:hAnsiTheme="majorEastAsia" w:cs="Arial" w:hint="eastAsia"/>
          <w:color w:val="000000" w:themeColor="text1"/>
        </w:rPr>
        <w:t>m</w:t>
      </w:r>
      <w:r w:rsidR="004B5FF2">
        <w:rPr>
          <w:rFonts w:asciiTheme="majorEastAsia" w:eastAsiaTheme="majorEastAsia" w:hAnsiTheme="majorEastAsia" w:cs="Arial" w:hint="eastAsia"/>
          <w:color w:val="000000" w:themeColor="text1"/>
        </w:rPr>
        <w:t>（地下室底板底标高3</w:t>
      </w:r>
      <w:r w:rsidR="004B5FF2">
        <w:rPr>
          <w:rFonts w:asciiTheme="majorEastAsia" w:eastAsiaTheme="majorEastAsia" w:hAnsiTheme="majorEastAsia" w:cs="Arial"/>
          <w:color w:val="000000" w:themeColor="text1"/>
        </w:rPr>
        <w:t>5.60m</w:t>
      </w:r>
      <w:r w:rsidR="000D458D">
        <w:rPr>
          <w:rFonts w:asciiTheme="majorEastAsia" w:eastAsiaTheme="majorEastAsia" w:hAnsiTheme="majorEastAsia" w:cs="Arial" w:hint="eastAsia"/>
          <w:color w:val="000000" w:themeColor="text1"/>
        </w:rPr>
        <w:t>起算</w:t>
      </w:r>
      <w:r w:rsidR="004B5FF2">
        <w:rPr>
          <w:rFonts w:asciiTheme="majorEastAsia" w:eastAsiaTheme="majorEastAsia" w:hAnsiTheme="majorEastAsia" w:cs="Arial" w:hint="eastAsia"/>
          <w:color w:val="000000" w:themeColor="text1"/>
        </w:rPr>
        <w:t>）</w:t>
      </w:r>
      <w:bookmarkEnd w:id="6"/>
      <w:r w:rsidRPr="00844E2A">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基坑砂石料开挖完成后，由委托人组织本项目总包单位、监理单位及其他相关部门进行现场测绘及联合验收，</w:t>
      </w:r>
      <w:r w:rsidRPr="00844E2A">
        <w:rPr>
          <w:rFonts w:asciiTheme="majorEastAsia" w:eastAsiaTheme="majorEastAsia" w:hAnsiTheme="majorEastAsia" w:cs="Arial"/>
          <w:color w:val="000000" w:themeColor="text1"/>
        </w:rPr>
        <w:t>实际开挖过程绝对不允许</w:t>
      </w:r>
      <w:r w:rsidRPr="00844E2A">
        <w:rPr>
          <w:rFonts w:asciiTheme="majorEastAsia" w:eastAsiaTheme="majorEastAsia" w:hAnsiTheme="majorEastAsia" w:cs="Arial" w:hint="eastAsia"/>
          <w:color w:val="000000" w:themeColor="text1"/>
        </w:rPr>
        <w:t>超深、</w:t>
      </w:r>
      <w:r w:rsidRPr="00844E2A">
        <w:rPr>
          <w:rFonts w:asciiTheme="majorEastAsia" w:eastAsiaTheme="majorEastAsia" w:hAnsiTheme="majorEastAsia" w:cs="Arial"/>
          <w:color w:val="000000" w:themeColor="text1"/>
        </w:rPr>
        <w:t>越界开采，如出现</w:t>
      </w:r>
      <w:r w:rsidRPr="00844E2A">
        <w:rPr>
          <w:rFonts w:asciiTheme="majorEastAsia" w:eastAsiaTheme="majorEastAsia" w:hAnsiTheme="majorEastAsia" w:cs="Arial" w:hint="eastAsia"/>
          <w:color w:val="000000" w:themeColor="text1"/>
        </w:rPr>
        <w:t>超深、</w:t>
      </w:r>
      <w:r w:rsidRPr="00844E2A">
        <w:rPr>
          <w:rFonts w:asciiTheme="majorEastAsia" w:eastAsiaTheme="majorEastAsia" w:hAnsiTheme="majorEastAsia" w:cs="Arial"/>
          <w:color w:val="000000" w:themeColor="text1"/>
        </w:rPr>
        <w:t>越界开采行为</w:t>
      </w:r>
      <w:r>
        <w:rPr>
          <w:rFonts w:asciiTheme="majorEastAsia" w:eastAsiaTheme="majorEastAsia" w:hAnsiTheme="majorEastAsia" w:cs="Arial"/>
          <w:color w:val="000000" w:themeColor="text1"/>
        </w:rPr>
        <w:t>，将依据《中华人民共和国矿产资源法》进行处罚，够到刑事责任将依法移交公安部门处理。</w:t>
      </w:r>
    </w:p>
    <w:p w14:paraId="7C4F08AE" w14:textId="50956131"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4.本次开采挖掘深度与总包单位、监理单位、跟踪审计单位确认后明确。开挖过程中，做好安全防护工作，与总包单位做好配合工作，接受甲方、施工单位、监理单位、跟踪审计单位、主管部门的监督，开挖时限为</w:t>
      </w:r>
      <w:r w:rsidR="000D458D">
        <w:rPr>
          <w:rFonts w:asciiTheme="majorEastAsia" w:eastAsiaTheme="majorEastAsia" w:hAnsiTheme="majorEastAsia" w:cs="Arial"/>
          <w:color w:val="000000" w:themeColor="text1"/>
        </w:rPr>
        <w:t xml:space="preserve"> 30</w:t>
      </w:r>
      <w:r>
        <w:rPr>
          <w:rFonts w:asciiTheme="majorEastAsia" w:eastAsiaTheme="majorEastAsia" w:hAnsiTheme="majorEastAsia" w:cs="Arial" w:hint="eastAsia"/>
          <w:color w:val="000000" w:themeColor="text1"/>
        </w:rPr>
        <w:t>日。</w:t>
      </w:r>
    </w:p>
    <w:p w14:paraId="7F0CECB9"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lastRenderedPageBreak/>
        <w:t>5.竞买人为竞买活动付出的一切成本均由竞买人自行承担，不论其竞买是否成功，也无论是什么原因（包括但不限于撤拍、变更拍卖方式、起拍价等）</w:t>
      </w:r>
    </w:p>
    <w:p w14:paraId="2DE27C9B"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6.拍卖人有权拒绝任何不适宜人员进入拍卖会场，有权调整竞价价阶，在出现争议时，拍卖师有权当场收回标的重新拍卖。</w:t>
      </w:r>
    </w:p>
    <w:p w14:paraId="64D30279"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7.本次拍卖的拍卖公告、竞买申请、竞买协议、竞买须知、成交确认书是拍卖文件的重要组成部分。</w:t>
      </w:r>
    </w:p>
    <w:p w14:paraId="0E12D6B1"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五、竞价规则</w:t>
      </w:r>
    </w:p>
    <w:p w14:paraId="03C30C03"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1.本次拍卖标的设有保留价。竞买人的最高应价未达到保留价时，该应价不发生效力，拍卖师将停止该拍卖标的的拍卖。</w:t>
      </w:r>
    </w:p>
    <w:p w14:paraId="6CB07C0B"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2.本次拍卖采取有保留价的增价式拍卖方式，即在拍卖师宣布标的的起拍价后，竞买人以此价为限由低至高按竞价幅度竞争应价，最后拍卖师以达到或超过拍卖保留价的最高应价落槌成交。</w:t>
      </w:r>
    </w:p>
    <w:p w14:paraId="4993B199"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3.竞价幅度（又称价阶）是竞买人每次竞价必须增加的金额。价阶由拍卖师在拍卖前和拍卖中确定。竞买人每次应价应在前面应价的基础上，至少增加一个价阶或按价阶的整数倍数加价。在拍卖师宣布起拍价并开始竞价后，竞买人若要应价，应举应价号牌，并可同时口头报出所应价格。一经应价，不得撤回。待拍卖师确认有新的竞买人有更高应价时，其应价即丧失约束力。</w:t>
      </w:r>
    </w:p>
    <w:p w14:paraId="4211214F"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4.标的转让给达到或超过拍卖底价（保留价）的最高应价的竞买人。拍卖师采用“三次叫价”和落槌方式确认拍卖成交，即拍卖师连续重复三次最高应价，如无人再应价，拍卖师将根据拍卖底价的情况决定是否成交，如最高应价大于或等于拍卖底价，拍卖师即以落槌形式表示成交并当场宣布，反之则标的未成交。</w:t>
      </w:r>
    </w:p>
    <w:p w14:paraId="2637AEAA"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5.竞买人的应价一经拍卖师击槌即表示拍卖成交。买受人应当场签署《拍卖成交确认书》，并在《拍卖记录表》上签字。买受人拒绝签订《拍卖成交确认书》也不能对抗拍卖成交结果的法律效力。</w:t>
      </w:r>
    </w:p>
    <w:p w14:paraId="413476DD"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六、拍卖成交</w:t>
      </w:r>
    </w:p>
    <w:p w14:paraId="14C0E497"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9"/>
          <w:rFonts w:asciiTheme="majorEastAsia" w:eastAsiaTheme="majorEastAsia" w:hAnsiTheme="majorEastAsia" w:cs="Arial"/>
          <w:b w:val="0"/>
          <w:color w:val="000000" w:themeColor="text1"/>
        </w:rPr>
        <w:t>1.拍卖成交手续</w:t>
      </w:r>
    </w:p>
    <w:p w14:paraId="470E2256"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拍卖成交后，拍卖人只出具《拍卖成交确认书》，且不提供变更手续。</w:t>
      </w:r>
    </w:p>
    <w:p w14:paraId="044820E7"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拍卖成交后，买受人与委托人在本须知内容以外另行约定而产生的后果与拍卖人无关。</w:t>
      </w:r>
    </w:p>
    <w:p w14:paraId="5E22E15C" w14:textId="32D1770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2.拍卖成交款、履约保证金（</w:t>
      </w:r>
      <w:r>
        <w:rPr>
          <w:rFonts w:asciiTheme="majorEastAsia" w:eastAsiaTheme="majorEastAsia" w:hAnsiTheme="majorEastAsia" w:cs="Arial" w:hint="eastAsia"/>
          <w:color w:val="000000" w:themeColor="text1"/>
        </w:rPr>
        <w:t xml:space="preserve"> </w:t>
      </w:r>
      <w:r w:rsidR="000D458D">
        <w:rPr>
          <w:rFonts w:asciiTheme="majorEastAsia" w:eastAsiaTheme="majorEastAsia" w:hAnsiTheme="majorEastAsia" w:cs="Arial"/>
          <w:color w:val="000000" w:themeColor="text1"/>
        </w:rPr>
        <w:t>10</w:t>
      </w:r>
      <w:r>
        <w:rPr>
          <w:rFonts w:asciiTheme="majorEastAsia" w:eastAsiaTheme="majorEastAsia" w:hAnsiTheme="majorEastAsia" w:cs="Arial" w:hint="eastAsia"/>
          <w:color w:val="000000" w:themeColor="text1"/>
        </w:rPr>
        <w:t>万元）</w:t>
      </w:r>
    </w:p>
    <w:p w14:paraId="7B2C5D09" w14:textId="5ACE5C4D"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买受人须在成交之日起</w:t>
      </w:r>
      <w:r w:rsidR="00222C5F">
        <w:rPr>
          <w:rFonts w:asciiTheme="majorEastAsia" w:eastAsiaTheme="majorEastAsia" w:hAnsiTheme="majorEastAsia" w:cs="Arial" w:hint="eastAsia"/>
          <w:color w:val="000000" w:themeColor="text1"/>
        </w:rPr>
        <w:t>个3个工作日</w:t>
      </w:r>
      <w:r>
        <w:rPr>
          <w:rFonts w:asciiTheme="majorEastAsia" w:eastAsiaTheme="majorEastAsia" w:hAnsiTheme="majorEastAsia" w:cs="Arial"/>
          <w:color w:val="000000" w:themeColor="text1"/>
        </w:rPr>
        <w:t>内，向委托人指定账户付清全部拍卖成交款及履约保证金。逾期未付清，买受人将承担违约责任（违约责任详见本须知第八条）。拍卖成交价款、履约保证金缴款账户如下：</w:t>
      </w:r>
    </w:p>
    <w:p w14:paraId="5FFBFE92" w14:textId="77777777" w:rsidR="009E77E0" w:rsidRPr="008936FD" w:rsidRDefault="009E77E0" w:rsidP="009E77E0">
      <w:pPr>
        <w:pStyle w:val="a8"/>
        <w:spacing w:beforeLines="50" w:before="156" w:beforeAutospacing="0" w:afterLines="50" w:after="156" w:afterAutospacing="0" w:line="320" w:lineRule="exact"/>
        <w:ind w:leftChars="-100" w:left="-210" w:rightChars="-100" w:right="-210"/>
        <w:rPr>
          <w:rStyle w:val="a9"/>
          <w:rFonts w:asciiTheme="majorEastAsia" w:eastAsiaTheme="majorEastAsia" w:hAnsiTheme="majorEastAsia" w:cs="Arial"/>
          <w:b w:val="0"/>
        </w:rPr>
      </w:pPr>
      <w:r w:rsidRPr="008936FD">
        <w:rPr>
          <w:rStyle w:val="a9"/>
        </w:rPr>
        <w:t>拍卖成交款：收款单位</w:t>
      </w:r>
      <w:r w:rsidRPr="008936FD">
        <w:rPr>
          <w:rStyle w:val="a9"/>
          <w:rFonts w:asciiTheme="majorEastAsia" w:eastAsiaTheme="majorEastAsia" w:hAnsiTheme="majorEastAsia" w:cs="Arial" w:hint="eastAsia"/>
        </w:rPr>
        <w:t>：金华市婺城区财政局乡镇非税资金财政专户</w:t>
      </w:r>
    </w:p>
    <w:p w14:paraId="61621D33" w14:textId="77777777" w:rsidR="009E77E0" w:rsidRPr="008936FD" w:rsidRDefault="009E77E0" w:rsidP="009E77E0">
      <w:pPr>
        <w:pStyle w:val="a8"/>
        <w:spacing w:beforeLines="50" w:before="156" w:beforeAutospacing="0" w:afterLines="50" w:after="156" w:afterAutospacing="0" w:line="320" w:lineRule="exact"/>
        <w:ind w:leftChars="-100" w:left="-210" w:rightChars="-100" w:right="-210"/>
        <w:rPr>
          <w:rStyle w:val="a9"/>
          <w:rFonts w:asciiTheme="majorEastAsia" w:eastAsiaTheme="majorEastAsia" w:hAnsiTheme="majorEastAsia" w:cs="Arial"/>
          <w:b w:val="0"/>
        </w:rPr>
      </w:pPr>
      <w:r w:rsidRPr="008936FD">
        <w:rPr>
          <w:rStyle w:val="a9"/>
          <w:rFonts w:asciiTheme="majorEastAsia" w:eastAsiaTheme="majorEastAsia" w:hAnsiTheme="majorEastAsia" w:cs="Arial" w:hint="eastAsia"/>
        </w:rPr>
        <w:t>开户账号：1301026400000502789203</w:t>
      </w:r>
      <w:r w:rsidRPr="008936FD">
        <w:rPr>
          <w:rStyle w:val="a9"/>
          <w:rFonts w:asciiTheme="majorEastAsia" w:eastAsiaTheme="majorEastAsia" w:hAnsiTheme="majorEastAsia" w:cs="Arial"/>
        </w:rPr>
        <w:t xml:space="preserve">   </w:t>
      </w:r>
      <w:r w:rsidRPr="008936FD">
        <w:rPr>
          <w:rStyle w:val="a9"/>
          <w:rFonts w:asciiTheme="majorEastAsia" w:eastAsiaTheme="majorEastAsia" w:hAnsiTheme="majorEastAsia" w:cs="Arial" w:hint="eastAsia"/>
        </w:rPr>
        <w:t>开户行：金华银行婺城支行</w:t>
      </w:r>
    </w:p>
    <w:p w14:paraId="0C071887" w14:textId="2AAA80AE" w:rsidR="009E77E0" w:rsidRDefault="009E77E0" w:rsidP="009E77E0">
      <w:pPr>
        <w:pStyle w:val="a8"/>
        <w:spacing w:beforeLines="50" w:before="156" w:beforeAutospacing="0" w:afterLines="50" w:after="156" w:afterAutospacing="0" w:line="320" w:lineRule="exact"/>
        <w:ind w:leftChars="-100" w:left="-210" w:rightChars="-100" w:right="-210"/>
        <w:rPr>
          <w:rStyle w:val="a9"/>
          <w:rFonts w:asciiTheme="majorEastAsia" w:eastAsiaTheme="majorEastAsia" w:hAnsiTheme="majorEastAsia" w:cs="Arial"/>
          <w:b w:val="0"/>
        </w:rPr>
      </w:pPr>
      <w:r w:rsidRPr="008936FD">
        <w:rPr>
          <w:rStyle w:val="a9"/>
        </w:rPr>
        <w:lastRenderedPageBreak/>
        <w:t>履约保证金（</w:t>
      </w:r>
      <w:r>
        <w:rPr>
          <w:rStyle w:val="a9"/>
        </w:rPr>
        <w:t>10</w:t>
      </w:r>
      <w:r>
        <w:rPr>
          <w:rStyle w:val="a9"/>
          <w:rFonts w:hint="eastAsia"/>
        </w:rPr>
        <w:t>万元</w:t>
      </w:r>
      <w:r w:rsidRPr="008936FD">
        <w:rPr>
          <w:rStyle w:val="a9"/>
          <w:rFonts w:hint="eastAsia"/>
        </w:rPr>
        <w:t>）：</w:t>
      </w:r>
      <w:r w:rsidRPr="008936FD">
        <w:rPr>
          <w:rStyle w:val="a9"/>
        </w:rPr>
        <w:t>收款单位</w:t>
      </w:r>
      <w:r>
        <w:rPr>
          <w:rStyle w:val="a9"/>
          <w:rFonts w:asciiTheme="majorEastAsia" w:eastAsiaTheme="majorEastAsia" w:hAnsiTheme="majorEastAsia" w:cs="Arial" w:hint="eastAsia"/>
        </w:rPr>
        <w:t>：</w:t>
      </w:r>
      <w:r w:rsidRPr="008936FD">
        <w:rPr>
          <w:rStyle w:val="a9"/>
          <w:rFonts w:asciiTheme="majorEastAsia" w:eastAsiaTheme="majorEastAsia" w:hAnsiTheme="majorEastAsia" w:cs="Arial" w:hint="eastAsia"/>
        </w:rPr>
        <w:t>金华市婺城新城区开发建设管理委员会</w:t>
      </w:r>
    </w:p>
    <w:p w14:paraId="0744B535" w14:textId="77777777" w:rsidR="009E77E0" w:rsidRPr="008936FD" w:rsidRDefault="009E77E0" w:rsidP="009E77E0">
      <w:pPr>
        <w:pStyle w:val="a8"/>
        <w:spacing w:beforeLines="50" w:before="156" w:beforeAutospacing="0" w:afterLines="50" w:after="156" w:afterAutospacing="0" w:line="320" w:lineRule="exact"/>
        <w:ind w:leftChars="-100" w:left="-210" w:rightChars="-100" w:right="-210"/>
        <w:rPr>
          <w:rStyle w:val="a9"/>
          <w:rFonts w:asciiTheme="majorEastAsia" w:eastAsiaTheme="majorEastAsia" w:hAnsiTheme="majorEastAsia" w:cs="Arial"/>
          <w:b w:val="0"/>
        </w:rPr>
      </w:pPr>
      <w:r w:rsidRPr="008936FD">
        <w:rPr>
          <w:rStyle w:val="a9"/>
          <w:rFonts w:asciiTheme="majorEastAsia" w:eastAsiaTheme="majorEastAsia" w:hAnsiTheme="majorEastAsia" w:cs="Arial" w:hint="eastAsia"/>
        </w:rPr>
        <w:t>开户账号：</w:t>
      </w:r>
      <w:r w:rsidRPr="008936FD">
        <w:rPr>
          <w:rStyle w:val="a9"/>
          <w:rFonts w:asciiTheme="majorEastAsia" w:eastAsiaTheme="majorEastAsia" w:hAnsiTheme="majorEastAsia" w:cs="Arial"/>
        </w:rPr>
        <w:t xml:space="preserve">33001676737050000137     </w:t>
      </w:r>
      <w:r w:rsidRPr="008936FD">
        <w:rPr>
          <w:rStyle w:val="a9"/>
          <w:rFonts w:asciiTheme="majorEastAsia" w:eastAsiaTheme="majorEastAsia" w:hAnsiTheme="majorEastAsia" w:cs="Arial" w:hint="eastAsia"/>
        </w:rPr>
        <w:t>开户行：建行金华婺城支行</w:t>
      </w:r>
    </w:p>
    <w:p w14:paraId="4D6EF74B" w14:textId="6A176362" w:rsidR="00890730" w:rsidRDefault="0033799D" w:rsidP="00844E2A">
      <w:pPr>
        <w:pStyle w:val="a8"/>
        <w:spacing w:beforeLines="50" w:before="156" w:beforeAutospacing="0" w:afterLines="50" w:after="156" w:afterAutospacing="0" w:line="320" w:lineRule="exact"/>
        <w:ind w:rightChars="-100" w:right="-210"/>
        <w:rPr>
          <w:rFonts w:asciiTheme="majorEastAsia" w:eastAsiaTheme="majorEastAsia" w:hAnsiTheme="majorEastAsia" w:cs="Arial"/>
          <w:b/>
          <w:color w:val="000000" w:themeColor="text1"/>
        </w:rPr>
      </w:pPr>
      <w:r>
        <w:rPr>
          <w:rStyle w:val="a9"/>
          <w:rFonts w:asciiTheme="majorEastAsia" w:eastAsiaTheme="majorEastAsia" w:hAnsiTheme="majorEastAsia" w:cs="Arial"/>
          <w:b w:val="0"/>
          <w:color w:val="000000" w:themeColor="text1"/>
        </w:rPr>
        <w:t>3.拍卖佣金</w:t>
      </w:r>
      <w:r>
        <w:rPr>
          <w:rStyle w:val="a9"/>
          <w:rFonts w:asciiTheme="majorEastAsia" w:eastAsiaTheme="majorEastAsia" w:hAnsiTheme="majorEastAsia" w:cs="Arial" w:hint="eastAsia"/>
          <w:b w:val="0"/>
          <w:color w:val="000000" w:themeColor="text1"/>
        </w:rPr>
        <w:t xml:space="preserve">(拍卖成交价 </w:t>
      </w:r>
      <w:r w:rsidR="000D458D">
        <w:rPr>
          <w:rStyle w:val="a9"/>
          <w:rFonts w:asciiTheme="majorEastAsia" w:eastAsiaTheme="majorEastAsia" w:hAnsiTheme="majorEastAsia" w:cs="Arial"/>
          <w:b w:val="0"/>
          <w:color w:val="000000" w:themeColor="text1"/>
        </w:rPr>
        <w:t>5</w:t>
      </w:r>
      <w:r>
        <w:rPr>
          <w:rStyle w:val="a9"/>
          <w:rFonts w:asciiTheme="majorEastAsia" w:eastAsiaTheme="majorEastAsia" w:hAnsiTheme="majorEastAsia" w:cs="Arial" w:hint="eastAsia"/>
          <w:b w:val="0"/>
          <w:color w:val="000000" w:themeColor="text1"/>
        </w:rPr>
        <w:t>%)</w:t>
      </w:r>
    </w:p>
    <w:p w14:paraId="3511C426" w14:textId="405F0604"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拍卖佣金由买受人承担支付，不计入拍卖成交价款内。拍卖成交的，买受人须在成交</w:t>
      </w:r>
      <w:r w:rsidR="00222C5F">
        <w:rPr>
          <w:rFonts w:asciiTheme="majorEastAsia" w:eastAsiaTheme="majorEastAsia" w:hAnsiTheme="majorEastAsia" w:cs="Arial"/>
          <w:color w:val="000000" w:themeColor="text1"/>
        </w:rPr>
        <w:t>3</w:t>
      </w:r>
      <w:r>
        <w:rPr>
          <w:rFonts w:asciiTheme="majorEastAsia" w:eastAsiaTheme="majorEastAsia" w:hAnsiTheme="majorEastAsia" w:cs="Arial"/>
          <w:color w:val="000000" w:themeColor="text1"/>
        </w:rPr>
        <w:t>个工作日内向拍卖人支付拍卖佣金。拍卖佣金交款账户：</w:t>
      </w:r>
    </w:p>
    <w:p w14:paraId="059EBFB9"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收款单位：</w:t>
      </w:r>
      <w:r>
        <w:rPr>
          <w:rFonts w:asciiTheme="majorEastAsia" w:eastAsiaTheme="majorEastAsia" w:hAnsiTheme="majorEastAsia" w:cs="Arial"/>
          <w:color w:val="000000" w:themeColor="text1"/>
          <w:u w:val="single"/>
        </w:rPr>
        <w:t xml:space="preserve">金华市正得拍卖有限公司 </w:t>
      </w:r>
      <w:r>
        <w:rPr>
          <w:rFonts w:asciiTheme="majorEastAsia" w:eastAsiaTheme="majorEastAsia" w:hAnsiTheme="majorEastAsia" w:cs="Arial"/>
          <w:color w:val="000000" w:themeColor="text1"/>
        </w:rPr>
        <w:t xml:space="preserve">   </w:t>
      </w:r>
    </w:p>
    <w:p w14:paraId="362DCE7C" w14:textId="77777777" w:rsidR="00890730" w:rsidRDefault="0033799D" w:rsidP="00844E2A">
      <w:pPr>
        <w:pStyle w:val="a8"/>
        <w:spacing w:beforeLines="50" w:before="156" w:beforeAutospacing="0" w:afterLines="50" w:after="156" w:afterAutospacing="0" w:line="320" w:lineRule="exact"/>
        <w:ind w:leftChars="-100" w:left="-210" w:rightChars="-100" w:right="-210"/>
        <w:rPr>
          <w:rStyle w:val="NormalCharacter"/>
          <w:rFonts w:asciiTheme="majorEastAsia" w:eastAsiaTheme="majorEastAsia" w:hAnsiTheme="majorEastAsia"/>
          <w:color w:val="000000" w:themeColor="text1"/>
          <w:u w:val="single"/>
        </w:rPr>
      </w:pPr>
      <w:r>
        <w:rPr>
          <w:rFonts w:asciiTheme="majorEastAsia" w:eastAsiaTheme="majorEastAsia" w:hAnsiTheme="majorEastAsia" w:cs="Arial"/>
          <w:color w:val="000000" w:themeColor="text1"/>
        </w:rPr>
        <w:t xml:space="preserve"> 开户银行：</w:t>
      </w:r>
      <w:r>
        <w:rPr>
          <w:rStyle w:val="NormalCharacter"/>
          <w:rFonts w:asciiTheme="majorEastAsia" w:eastAsiaTheme="majorEastAsia" w:hAnsiTheme="majorEastAsia"/>
          <w:color w:val="000000" w:themeColor="text1"/>
          <w:u w:val="single"/>
        </w:rPr>
        <w:t>中国银行金华市分行</w:t>
      </w:r>
    </w:p>
    <w:p w14:paraId="16574051" w14:textId="77777777" w:rsidR="00890730" w:rsidRDefault="0033799D" w:rsidP="00844E2A">
      <w:pPr>
        <w:pStyle w:val="a8"/>
        <w:spacing w:beforeLines="50" w:before="156" w:beforeAutospacing="0" w:afterLines="50" w:after="156" w:afterAutospacing="0" w:line="320" w:lineRule="exact"/>
        <w:ind w:leftChars="-100" w:left="-210" w:rightChars="-100" w:right="-210" w:firstLineChars="100" w:firstLine="24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帐 号：</w:t>
      </w:r>
      <w:r>
        <w:rPr>
          <w:rStyle w:val="NormalCharacter"/>
          <w:rFonts w:asciiTheme="majorEastAsia" w:eastAsiaTheme="majorEastAsia" w:hAnsiTheme="majorEastAsia"/>
          <w:color w:val="000000" w:themeColor="text1"/>
          <w:u w:val="single"/>
        </w:rPr>
        <w:t>366258336701</w:t>
      </w:r>
    </w:p>
    <w:p w14:paraId="2C4B3207"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七、标的移交</w:t>
      </w:r>
    </w:p>
    <w:p w14:paraId="5BCAFEC6"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1.拍卖成交后，买受人凭《拍卖成交确认书》及缴款凭证（拍卖成交款、履约保证金</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拍卖佣金）与委托方签订砂石料出让合同</w:t>
      </w:r>
      <w:r>
        <w:rPr>
          <w:rFonts w:asciiTheme="majorEastAsia" w:eastAsiaTheme="majorEastAsia" w:hAnsiTheme="majorEastAsia" w:cs="Arial" w:hint="eastAsia"/>
          <w:color w:val="000000" w:themeColor="text1"/>
        </w:rPr>
        <w:t>（签订时间等业主方通知）</w:t>
      </w:r>
      <w:r>
        <w:rPr>
          <w:rFonts w:asciiTheme="majorEastAsia" w:eastAsiaTheme="majorEastAsia" w:hAnsiTheme="majorEastAsia" w:cs="Arial"/>
          <w:color w:val="000000" w:themeColor="text1"/>
        </w:rPr>
        <w:t>按照委托人规定的时间进度和地点提取砂石料。</w:t>
      </w:r>
    </w:p>
    <w:p w14:paraId="159CCFAB" w14:textId="6C80FB8B"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2.拍卖成交后标</w:t>
      </w:r>
      <w:r>
        <w:rPr>
          <w:rFonts w:asciiTheme="majorEastAsia" w:eastAsiaTheme="majorEastAsia" w:hAnsiTheme="majorEastAsia" w:cs="Arial" w:hint="eastAsia"/>
          <w:color w:val="000000" w:themeColor="text1"/>
        </w:rPr>
        <w:t>的地下砂石矿土方由买受人自行开挖；</w:t>
      </w:r>
      <w:r w:rsidRPr="00844E2A">
        <w:rPr>
          <w:rFonts w:asciiTheme="majorEastAsia" w:eastAsiaTheme="majorEastAsia" w:hAnsiTheme="majorEastAsia" w:cs="Arial" w:hint="eastAsia"/>
          <w:color w:val="000000" w:themeColor="text1"/>
        </w:rPr>
        <w:t>买受方须自行安排外运（运输、场外堆放等费用自行解决）；</w:t>
      </w:r>
      <w:r>
        <w:rPr>
          <w:rFonts w:asciiTheme="majorEastAsia" w:eastAsiaTheme="majorEastAsia" w:hAnsiTheme="majorEastAsia" w:cs="Arial"/>
          <w:color w:val="000000" w:themeColor="text1"/>
        </w:rPr>
        <w:t>买受人提取砂石过程中的一切安全责任由买受人自行承担</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包括但不限于超载、超限责任、扬尘治理责任、运输车辆冲洗责任等）。</w:t>
      </w:r>
    </w:p>
    <w:p w14:paraId="3BD78F84"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八、买受人的违约责任</w:t>
      </w:r>
    </w:p>
    <w:p w14:paraId="57A97DDD"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如果买受人违约，买受人缴纳的竞买保证金、履约保证金及拍卖佣金，委托人和拍卖人有权不予退还，拍卖人根据《中华人民共和国拍卖法》的规定收回拍卖标的，经委托人同意后进行再次拍卖。拍卖标的再行拍卖的，原买受人应当支付第一次拍卖中本人及委托人应当支付的佣金，再行拍卖的价款低于前次拍卖价款的，违约买受人应补足差额。同时，委托人和拍卖人有权追究违约买受人的其它违约责任。</w:t>
      </w:r>
    </w:p>
    <w:p w14:paraId="1C4E68FF"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九、特别提示</w:t>
      </w:r>
    </w:p>
    <w:p w14:paraId="071EACB9"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鉴于拍卖是一种特殊的交易方式，敬请各位竞买人在竞价举牌时慎重从事，认真考虑自身需要和承受能力，三思而后行。拍卖活动应严格遵守拍卖人《拍卖规则》和本《竞买须知》，一经举牌和拍卖师落槌成交，拍卖当事人均不能反悔，否则将承担法律责任。</w:t>
      </w:r>
    </w:p>
    <w:p w14:paraId="3ED4DD85"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十、会场纪律</w:t>
      </w:r>
    </w:p>
    <w:p w14:paraId="07430685"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参加拍卖会的全体人员必须服从本拍卖人的统一安排，保持会场的安静、严肃。在拍卖竞价中，竞买人必须服从拍卖师的决定。竞买人请勿将号牌交给陪同人员或他人随意举牌应价，否则，造成的后果由竞买人承担。如违反会场纪律，拍卖人有权予以制止，或拒绝其参加竞价，直至清退出场。如造成经济损失，还应承担赔偿责任。</w:t>
      </w:r>
    </w:p>
    <w:p w14:paraId="315DCF92"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十一、不可抗力</w:t>
      </w:r>
    </w:p>
    <w:p w14:paraId="76F0D0CE"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拍卖成交后如发生不可抗力事件，发生事件的一方应在事件发生后五日内书面通知对方，双方经过协商解决。</w:t>
      </w:r>
    </w:p>
    <w:p w14:paraId="0F875498" w14:textId="77777777"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lastRenderedPageBreak/>
        <w:t>竞买人须仔细阅读并遵守本《竞买须知》，一经签章认可，则应据此对自己在拍卖活动中的行为负完全的法律责任。</w:t>
      </w:r>
    </w:p>
    <w:p w14:paraId="55C4F21B" w14:textId="5968ABDE" w:rsidR="00890730" w:rsidRDefault="0033799D" w:rsidP="00844E2A">
      <w:pPr>
        <w:pStyle w:val="a8"/>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本须知未尽事宜以《</w:t>
      </w:r>
      <w:r w:rsidR="00FC1236" w:rsidRPr="00FC1236">
        <w:rPr>
          <w:rStyle w:val="a9"/>
          <w:rFonts w:asciiTheme="majorEastAsia" w:eastAsiaTheme="majorEastAsia" w:hAnsiTheme="majorEastAsia" w:cs="Arial" w:hint="eastAsia"/>
          <w:b w:val="0"/>
          <w:bCs w:val="0"/>
          <w:color w:val="000000" w:themeColor="text1"/>
        </w:rPr>
        <w:t>金华市婺城区人民医院改</w:t>
      </w:r>
      <w:r w:rsidR="00C6581F">
        <w:rPr>
          <w:rStyle w:val="a9"/>
          <w:rFonts w:asciiTheme="majorEastAsia" w:eastAsiaTheme="majorEastAsia" w:hAnsiTheme="majorEastAsia" w:cs="Arial" w:hint="eastAsia"/>
          <w:b w:val="0"/>
          <w:bCs w:val="0"/>
          <w:color w:val="000000" w:themeColor="text1"/>
        </w:rPr>
        <w:t>扩</w:t>
      </w:r>
      <w:r w:rsidR="00FC1236" w:rsidRPr="00FC1236">
        <w:rPr>
          <w:rStyle w:val="a9"/>
          <w:rFonts w:asciiTheme="majorEastAsia" w:eastAsiaTheme="majorEastAsia" w:hAnsiTheme="majorEastAsia" w:cs="Arial" w:hint="eastAsia"/>
          <w:b w:val="0"/>
          <w:bCs w:val="0"/>
          <w:color w:val="000000" w:themeColor="text1"/>
        </w:rPr>
        <w:t>建工程区块</w:t>
      </w:r>
      <w:r>
        <w:rPr>
          <w:rFonts w:asciiTheme="majorEastAsia" w:eastAsiaTheme="majorEastAsia" w:hAnsiTheme="majorEastAsia" w:cs="Arial" w:hint="eastAsia"/>
          <w:color w:val="000000" w:themeColor="text1"/>
        </w:rPr>
        <w:t>普通</w:t>
      </w:r>
      <w:r>
        <w:rPr>
          <w:rFonts w:asciiTheme="majorEastAsia" w:eastAsiaTheme="majorEastAsia" w:hAnsiTheme="majorEastAsia" w:cs="Arial"/>
          <w:color w:val="000000" w:themeColor="text1"/>
        </w:rPr>
        <w:t>建筑用砂石矿</w:t>
      </w:r>
      <w:r>
        <w:rPr>
          <w:rFonts w:asciiTheme="majorEastAsia" w:eastAsiaTheme="majorEastAsia" w:hAnsiTheme="majorEastAsia" w:cs="Arial" w:hint="eastAsia"/>
          <w:color w:val="000000" w:themeColor="text1"/>
        </w:rPr>
        <w:t>出让合同</w:t>
      </w:r>
      <w:r>
        <w:rPr>
          <w:rFonts w:asciiTheme="majorEastAsia" w:eastAsiaTheme="majorEastAsia" w:hAnsiTheme="majorEastAsia" w:cs="Arial"/>
          <w:color w:val="000000" w:themeColor="text1"/>
        </w:rPr>
        <w:t>》为准。</w:t>
      </w:r>
    </w:p>
    <w:p w14:paraId="306D7C99" w14:textId="77777777" w:rsidR="00C6581F" w:rsidRDefault="0033799D" w:rsidP="00890730">
      <w:pPr>
        <w:pStyle w:val="a8"/>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r>
        <w:rPr>
          <w:rFonts w:asciiTheme="majorEastAsia" w:eastAsiaTheme="majorEastAsia" w:hAnsiTheme="majorEastAsia" w:cs="Arial" w:hint="eastAsia"/>
          <w:color w:val="000000" w:themeColor="text1"/>
        </w:rPr>
        <w:t>委托单位：</w:t>
      </w:r>
      <w:r w:rsidR="00844E2A">
        <w:rPr>
          <w:rFonts w:asciiTheme="majorEastAsia" w:eastAsiaTheme="majorEastAsia" w:hAnsiTheme="majorEastAsia" w:cs="Arial" w:hint="eastAsia"/>
          <w:color w:val="000000" w:themeColor="text1"/>
        </w:rPr>
        <w:t>金华市婺城新城区开发建设管理委员会</w:t>
      </w:r>
      <w:r>
        <w:rPr>
          <w:rFonts w:asciiTheme="majorEastAsia" w:eastAsiaTheme="majorEastAsia" w:hAnsiTheme="majorEastAsia" w:cs="Arial" w:hint="eastAsia"/>
          <w:color w:val="000000" w:themeColor="text1"/>
        </w:rPr>
        <w:t xml:space="preserve">   </w:t>
      </w:r>
    </w:p>
    <w:p w14:paraId="7F88DA0F" w14:textId="684B6BA5" w:rsidR="00844E2A" w:rsidRDefault="0033799D" w:rsidP="00890730">
      <w:pPr>
        <w:pStyle w:val="a8"/>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r>
        <w:rPr>
          <w:rFonts w:asciiTheme="majorEastAsia" w:eastAsiaTheme="majorEastAsia" w:hAnsiTheme="majorEastAsia" w:cs="Arial" w:hint="eastAsia"/>
          <w:color w:val="000000" w:themeColor="text1"/>
        </w:rPr>
        <w:t>拍卖单位：金华市正得拍卖有限公司</w:t>
      </w:r>
    </w:p>
    <w:p w14:paraId="40227300" w14:textId="77777777" w:rsidR="00844E2A" w:rsidRDefault="00844E2A" w:rsidP="00890730">
      <w:pPr>
        <w:pStyle w:val="a8"/>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04A2A317" w14:textId="77777777" w:rsidR="00844E2A" w:rsidRDefault="00844E2A" w:rsidP="00890730">
      <w:pPr>
        <w:pStyle w:val="a8"/>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6E5765E5" w14:textId="77777777" w:rsidR="00844E2A" w:rsidRDefault="00844E2A" w:rsidP="00890730">
      <w:pPr>
        <w:pStyle w:val="a8"/>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29ECF967" w14:textId="77777777" w:rsidR="00844E2A" w:rsidRDefault="00844E2A" w:rsidP="00890730">
      <w:pPr>
        <w:pStyle w:val="a8"/>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0328BDF6" w14:textId="77777777" w:rsidR="00844E2A" w:rsidRDefault="00844E2A" w:rsidP="00890730">
      <w:pPr>
        <w:pStyle w:val="a8"/>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4D0C3C2A" w14:textId="7DA0E6CB" w:rsidR="00890730" w:rsidRDefault="0033799D" w:rsidP="00844E2A">
      <w:pPr>
        <w:pStyle w:val="a8"/>
        <w:spacing w:beforeLines="50" w:before="156" w:beforeAutospacing="0" w:afterLines="50" w:after="156" w:afterAutospacing="0" w:line="320" w:lineRule="exact"/>
        <w:ind w:leftChars="-100" w:left="6510" w:rightChars="-100" w:right="-210" w:hangingChars="2800" w:hanging="6720"/>
        <w:jc w:val="right"/>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202</w:t>
      </w:r>
      <w:r>
        <w:rPr>
          <w:rFonts w:asciiTheme="majorEastAsia" w:eastAsiaTheme="majorEastAsia" w:hAnsiTheme="majorEastAsia" w:cs="Arial" w:hint="eastAsia"/>
          <w:color w:val="000000" w:themeColor="text1"/>
        </w:rPr>
        <w:t>2</w:t>
      </w:r>
      <w:r>
        <w:rPr>
          <w:rFonts w:asciiTheme="majorEastAsia" w:eastAsiaTheme="majorEastAsia" w:hAnsiTheme="majorEastAsia" w:cs="Arial"/>
          <w:color w:val="000000" w:themeColor="text1"/>
        </w:rPr>
        <w:t xml:space="preserve">年 </w:t>
      </w:r>
      <w:r w:rsidR="00222C5F">
        <w:rPr>
          <w:rFonts w:asciiTheme="majorEastAsia" w:eastAsiaTheme="majorEastAsia" w:hAnsiTheme="majorEastAsia" w:cs="Arial"/>
          <w:color w:val="000000" w:themeColor="text1"/>
        </w:rPr>
        <w:t>9</w:t>
      </w:r>
      <w:r>
        <w:rPr>
          <w:rFonts w:asciiTheme="majorEastAsia" w:eastAsiaTheme="majorEastAsia" w:hAnsiTheme="majorEastAsia" w:cs="Arial"/>
          <w:color w:val="000000" w:themeColor="text1"/>
        </w:rPr>
        <w:t>月</w:t>
      </w:r>
      <w:r>
        <w:rPr>
          <w:rFonts w:asciiTheme="majorEastAsia" w:eastAsiaTheme="majorEastAsia" w:hAnsiTheme="majorEastAsia" w:cs="Arial" w:hint="eastAsia"/>
          <w:color w:val="000000" w:themeColor="text1"/>
        </w:rPr>
        <w:t xml:space="preserve"> </w:t>
      </w:r>
      <w:r w:rsidR="00222C5F">
        <w:rPr>
          <w:rFonts w:asciiTheme="majorEastAsia" w:eastAsiaTheme="majorEastAsia" w:hAnsiTheme="majorEastAsia" w:cs="Arial"/>
          <w:color w:val="000000" w:themeColor="text1"/>
        </w:rPr>
        <w:t>22</w:t>
      </w:r>
      <w:r>
        <w:rPr>
          <w:rFonts w:asciiTheme="majorEastAsia" w:eastAsiaTheme="majorEastAsia" w:hAnsiTheme="majorEastAsia" w:cs="Arial"/>
          <w:color w:val="000000" w:themeColor="text1"/>
        </w:rPr>
        <w:t>日</w:t>
      </w:r>
    </w:p>
    <w:sectPr w:rsidR="00890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D048" w14:textId="77777777" w:rsidR="00FA6E0A" w:rsidRDefault="00FA6E0A" w:rsidP="008B5D93">
      <w:r>
        <w:separator/>
      </w:r>
    </w:p>
  </w:endnote>
  <w:endnote w:type="continuationSeparator" w:id="0">
    <w:p w14:paraId="7000B48E" w14:textId="77777777" w:rsidR="00FA6E0A" w:rsidRDefault="00FA6E0A" w:rsidP="008B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C7AF" w14:textId="77777777" w:rsidR="00FA6E0A" w:rsidRDefault="00FA6E0A" w:rsidP="008B5D93">
      <w:r>
        <w:separator/>
      </w:r>
    </w:p>
  </w:footnote>
  <w:footnote w:type="continuationSeparator" w:id="0">
    <w:p w14:paraId="26953DBB" w14:textId="77777777" w:rsidR="00FA6E0A" w:rsidRDefault="00FA6E0A" w:rsidP="008B5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F6A4"/>
    <w:multiLevelType w:val="singleLevel"/>
    <w:tmpl w:val="1158F6A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FiMzg3YTNjN2ZjMTFkN2UzYzQzM2YwMjhiMTgyNmEifQ=="/>
  </w:docVars>
  <w:rsids>
    <w:rsidRoot w:val="00AD007D"/>
    <w:rsid w:val="000008BC"/>
    <w:rsid w:val="00002FA9"/>
    <w:rsid w:val="0001066C"/>
    <w:rsid w:val="00011A55"/>
    <w:rsid w:val="0002063B"/>
    <w:rsid w:val="00030569"/>
    <w:rsid w:val="00033E2D"/>
    <w:rsid w:val="00034535"/>
    <w:rsid w:val="00036BE7"/>
    <w:rsid w:val="0003713A"/>
    <w:rsid w:val="00037489"/>
    <w:rsid w:val="000419ED"/>
    <w:rsid w:val="0004701A"/>
    <w:rsid w:val="0007385C"/>
    <w:rsid w:val="00076D53"/>
    <w:rsid w:val="00097867"/>
    <w:rsid w:val="000A328C"/>
    <w:rsid w:val="000A4714"/>
    <w:rsid w:val="000B0528"/>
    <w:rsid w:val="000B09AA"/>
    <w:rsid w:val="000D33B5"/>
    <w:rsid w:val="000D458D"/>
    <w:rsid w:val="000F139D"/>
    <w:rsid w:val="000F4243"/>
    <w:rsid w:val="001019EE"/>
    <w:rsid w:val="00105340"/>
    <w:rsid w:val="00117C4F"/>
    <w:rsid w:val="00122F57"/>
    <w:rsid w:val="001237CB"/>
    <w:rsid w:val="00124999"/>
    <w:rsid w:val="00146149"/>
    <w:rsid w:val="0015305E"/>
    <w:rsid w:val="00161DF8"/>
    <w:rsid w:val="00166B88"/>
    <w:rsid w:val="00170935"/>
    <w:rsid w:val="00174DDB"/>
    <w:rsid w:val="00175AC4"/>
    <w:rsid w:val="001779E3"/>
    <w:rsid w:val="001806F5"/>
    <w:rsid w:val="001843A9"/>
    <w:rsid w:val="00185A40"/>
    <w:rsid w:val="00187829"/>
    <w:rsid w:val="001900BD"/>
    <w:rsid w:val="001912B9"/>
    <w:rsid w:val="00192183"/>
    <w:rsid w:val="00194B52"/>
    <w:rsid w:val="00194F77"/>
    <w:rsid w:val="001950B7"/>
    <w:rsid w:val="001A23E2"/>
    <w:rsid w:val="001B18DA"/>
    <w:rsid w:val="001B2887"/>
    <w:rsid w:val="001C5D9E"/>
    <w:rsid w:val="001D1DAB"/>
    <w:rsid w:val="001E0D65"/>
    <w:rsid w:val="001E431B"/>
    <w:rsid w:val="001E57A8"/>
    <w:rsid w:val="001E763D"/>
    <w:rsid w:val="001F27A7"/>
    <w:rsid w:val="00215400"/>
    <w:rsid w:val="002168D8"/>
    <w:rsid w:val="00221B8A"/>
    <w:rsid w:val="00222C5F"/>
    <w:rsid w:val="00224AA8"/>
    <w:rsid w:val="00225625"/>
    <w:rsid w:val="00225CF4"/>
    <w:rsid w:val="00227893"/>
    <w:rsid w:val="00233D60"/>
    <w:rsid w:val="00233F53"/>
    <w:rsid w:val="002421C8"/>
    <w:rsid w:val="00244CDF"/>
    <w:rsid w:val="0024581D"/>
    <w:rsid w:val="00246856"/>
    <w:rsid w:val="00275800"/>
    <w:rsid w:val="00283FA0"/>
    <w:rsid w:val="002847CA"/>
    <w:rsid w:val="00293C8F"/>
    <w:rsid w:val="002A4A9F"/>
    <w:rsid w:val="002A4FA8"/>
    <w:rsid w:val="002A6B7D"/>
    <w:rsid w:val="002B6BE5"/>
    <w:rsid w:val="002B6D6E"/>
    <w:rsid w:val="002C211C"/>
    <w:rsid w:val="002C37DB"/>
    <w:rsid w:val="002D2E83"/>
    <w:rsid w:val="002D7109"/>
    <w:rsid w:val="002E0323"/>
    <w:rsid w:val="002E3343"/>
    <w:rsid w:val="002E373C"/>
    <w:rsid w:val="002F4A8B"/>
    <w:rsid w:val="00305A13"/>
    <w:rsid w:val="0031354F"/>
    <w:rsid w:val="003243B5"/>
    <w:rsid w:val="00330D87"/>
    <w:rsid w:val="00332928"/>
    <w:rsid w:val="00334A99"/>
    <w:rsid w:val="0033799D"/>
    <w:rsid w:val="003433BE"/>
    <w:rsid w:val="003465C8"/>
    <w:rsid w:val="003538B9"/>
    <w:rsid w:val="00364417"/>
    <w:rsid w:val="00376FA4"/>
    <w:rsid w:val="0038707B"/>
    <w:rsid w:val="00395491"/>
    <w:rsid w:val="00397CB6"/>
    <w:rsid w:val="003A6746"/>
    <w:rsid w:val="003B5A0D"/>
    <w:rsid w:val="003C56D1"/>
    <w:rsid w:val="003D0CCD"/>
    <w:rsid w:val="003D1C32"/>
    <w:rsid w:val="003D5C14"/>
    <w:rsid w:val="003F07F6"/>
    <w:rsid w:val="004009EA"/>
    <w:rsid w:val="00403E34"/>
    <w:rsid w:val="00407C8C"/>
    <w:rsid w:val="00421605"/>
    <w:rsid w:val="004265B1"/>
    <w:rsid w:val="00440945"/>
    <w:rsid w:val="004451BF"/>
    <w:rsid w:val="00460BA1"/>
    <w:rsid w:val="0046379D"/>
    <w:rsid w:val="00464A10"/>
    <w:rsid w:val="00487022"/>
    <w:rsid w:val="004876E9"/>
    <w:rsid w:val="004A0225"/>
    <w:rsid w:val="004A3259"/>
    <w:rsid w:val="004A3F1A"/>
    <w:rsid w:val="004A55A2"/>
    <w:rsid w:val="004A6E90"/>
    <w:rsid w:val="004B3BEE"/>
    <w:rsid w:val="004B5FF2"/>
    <w:rsid w:val="004E0643"/>
    <w:rsid w:val="004F4D5E"/>
    <w:rsid w:val="00500B62"/>
    <w:rsid w:val="00502568"/>
    <w:rsid w:val="0051487E"/>
    <w:rsid w:val="005303C3"/>
    <w:rsid w:val="00531A8C"/>
    <w:rsid w:val="00533914"/>
    <w:rsid w:val="00534570"/>
    <w:rsid w:val="00537B67"/>
    <w:rsid w:val="00542C1D"/>
    <w:rsid w:val="00551A30"/>
    <w:rsid w:val="005559C2"/>
    <w:rsid w:val="0056098A"/>
    <w:rsid w:val="00566C14"/>
    <w:rsid w:val="005915F5"/>
    <w:rsid w:val="00592655"/>
    <w:rsid w:val="00595373"/>
    <w:rsid w:val="005977D2"/>
    <w:rsid w:val="005A299D"/>
    <w:rsid w:val="005A6F53"/>
    <w:rsid w:val="005B42AA"/>
    <w:rsid w:val="005C45CA"/>
    <w:rsid w:val="005D6E24"/>
    <w:rsid w:val="005E047B"/>
    <w:rsid w:val="005E6C1B"/>
    <w:rsid w:val="005F4FBE"/>
    <w:rsid w:val="005F6B3A"/>
    <w:rsid w:val="006011A9"/>
    <w:rsid w:val="00623431"/>
    <w:rsid w:val="00641D20"/>
    <w:rsid w:val="0065177C"/>
    <w:rsid w:val="006529F7"/>
    <w:rsid w:val="006823DA"/>
    <w:rsid w:val="00684F6B"/>
    <w:rsid w:val="00685BDD"/>
    <w:rsid w:val="0068763A"/>
    <w:rsid w:val="00697A30"/>
    <w:rsid w:val="006A47E6"/>
    <w:rsid w:val="006B3E9E"/>
    <w:rsid w:val="006C35C2"/>
    <w:rsid w:val="006D0CDA"/>
    <w:rsid w:val="006D6B76"/>
    <w:rsid w:val="006E22B8"/>
    <w:rsid w:val="006E3C70"/>
    <w:rsid w:val="006F0F07"/>
    <w:rsid w:val="006F222D"/>
    <w:rsid w:val="00711CF6"/>
    <w:rsid w:val="00712901"/>
    <w:rsid w:val="00714EA5"/>
    <w:rsid w:val="0071552D"/>
    <w:rsid w:val="00721433"/>
    <w:rsid w:val="00727D48"/>
    <w:rsid w:val="0073148E"/>
    <w:rsid w:val="00734FC1"/>
    <w:rsid w:val="00743D78"/>
    <w:rsid w:val="00745946"/>
    <w:rsid w:val="00762EC1"/>
    <w:rsid w:val="00764F0B"/>
    <w:rsid w:val="00771206"/>
    <w:rsid w:val="00777800"/>
    <w:rsid w:val="007830E9"/>
    <w:rsid w:val="00783D5B"/>
    <w:rsid w:val="007841C4"/>
    <w:rsid w:val="00797B23"/>
    <w:rsid w:val="007A0952"/>
    <w:rsid w:val="007B71DC"/>
    <w:rsid w:val="007C1A62"/>
    <w:rsid w:val="007C3995"/>
    <w:rsid w:val="007C7ABB"/>
    <w:rsid w:val="007D7869"/>
    <w:rsid w:val="007E1CC4"/>
    <w:rsid w:val="00802628"/>
    <w:rsid w:val="00815EE1"/>
    <w:rsid w:val="0082576E"/>
    <w:rsid w:val="008258F1"/>
    <w:rsid w:val="00825CCB"/>
    <w:rsid w:val="00827512"/>
    <w:rsid w:val="00827642"/>
    <w:rsid w:val="00840C09"/>
    <w:rsid w:val="00842841"/>
    <w:rsid w:val="00844CCA"/>
    <w:rsid w:val="00844E2A"/>
    <w:rsid w:val="0086289E"/>
    <w:rsid w:val="00867F28"/>
    <w:rsid w:val="00877D70"/>
    <w:rsid w:val="008867AC"/>
    <w:rsid w:val="00890730"/>
    <w:rsid w:val="00891477"/>
    <w:rsid w:val="00891D7E"/>
    <w:rsid w:val="008A26D5"/>
    <w:rsid w:val="008A26D6"/>
    <w:rsid w:val="008A4CDB"/>
    <w:rsid w:val="008B11A3"/>
    <w:rsid w:val="008B5C39"/>
    <w:rsid w:val="008B5D93"/>
    <w:rsid w:val="008C03F2"/>
    <w:rsid w:val="008C6A44"/>
    <w:rsid w:val="008E3CDE"/>
    <w:rsid w:val="008E603C"/>
    <w:rsid w:val="008F470A"/>
    <w:rsid w:val="00901769"/>
    <w:rsid w:val="00917D1A"/>
    <w:rsid w:val="00922472"/>
    <w:rsid w:val="00923332"/>
    <w:rsid w:val="00936CE2"/>
    <w:rsid w:val="009405D7"/>
    <w:rsid w:val="00945F92"/>
    <w:rsid w:val="00947543"/>
    <w:rsid w:val="009648B8"/>
    <w:rsid w:val="00971D50"/>
    <w:rsid w:val="009858AF"/>
    <w:rsid w:val="00990D6B"/>
    <w:rsid w:val="009A057E"/>
    <w:rsid w:val="009A3F58"/>
    <w:rsid w:val="009A4EF0"/>
    <w:rsid w:val="009B47E0"/>
    <w:rsid w:val="009C4950"/>
    <w:rsid w:val="009C701A"/>
    <w:rsid w:val="009E143C"/>
    <w:rsid w:val="009E58C7"/>
    <w:rsid w:val="009E5DED"/>
    <w:rsid w:val="009E77E0"/>
    <w:rsid w:val="009F43A7"/>
    <w:rsid w:val="009F6A8C"/>
    <w:rsid w:val="00A0576D"/>
    <w:rsid w:val="00A10BE5"/>
    <w:rsid w:val="00A23A62"/>
    <w:rsid w:val="00A23E2A"/>
    <w:rsid w:val="00A27869"/>
    <w:rsid w:val="00A30711"/>
    <w:rsid w:val="00A3086E"/>
    <w:rsid w:val="00A318CA"/>
    <w:rsid w:val="00A343A4"/>
    <w:rsid w:val="00A57F98"/>
    <w:rsid w:val="00A616E6"/>
    <w:rsid w:val="00A63FB6"/>
    <w:rsid w:val="00A72C53"/>
    <w:rsid w:val="00A72F0D"/>
    <w:rsid w:val="00A73D0E"/>
    <w:rsid w:val="00A76B04"/>
    <w:rsid w:val="00A87235"/>
    <w:rsid w:val="00A93A48"/>
    <w:rsid w:val="00A940B8"/>
    <w:rsid w:val="00AA231F"/>
    <w:rsid w:val="00AA5911"/>
    <w:rsid w:val="00AC56F7"/>
    <w:rsid w:val="00AD007D"/>
    <w:rsid w:val="00AD08B1"/>
    <w:rsid w:val="00AD1CFA"/>
    <w:rsid w:val="00AD7031"/>
    <w:rsid w:val="00AE3E80"/>
    <w:rsid w:val="00AE538B"/>
    <w:rsid w:val="00AF153E"/>
    <w:rsid w:val="00AF15C9"/>
    <w:rsid w:val="00AF3BE4"/>
    <w:rsid w:val="00AF6471"/>
    <w:rsid w:val="00B01BD7"/>
    <w:rsid w:val="00B07CB6"/>
    <w:rsid w:val="00B1630B"/>
    <w:rsid w:val="00B202F0"/>
    <w:rsid w:val="00B24BAC"/>
    <w:rsid w:val="00B3457B"/>
    <w:rsid w:val="00B36617"/>
    <w:rsid w:val="00B46D92"/>
    <w:rsid w:val="00B50600"/>
    <w:rsid w:val="00B51B39"/>
    <w:rsid w:val="00B61603"/>
    <w:rsid w:val="00B65704"/>
    <w:rsid w:val="00B7371B"/>
    <w:rsid w:val="00B82DE6"/>
    <w:rsid w:val="00B850C3"/>
    <w:rsid w:val="00B86A60"/>
    <w:rsid w:val="00B90DB0"/>
    <w:rsid w:val="00B97246"/>
    <w:rsid w:val="00BA714B"/>
    <w:rsid w:val="00BD5068"/>
    <w:rsid w:val="00BD5E52"/>
    <w:rsid w:val="00BE40EB"/>
    <w:rsid w:val="00BE5457"/>
    <w:rsid w:val="00BF2B45"/>
    <w:rsid w:val="00BF370C"/>
    <w:rsid w:val="00BF3B68"/>
    <w:rsid w:val="00BF6D09"/>
    <w:rsid w:val="00BF7DBC"/>
    <w:rsid w:val="00C04135"/>
    <w:rsid w:val="00C06425"/>
    <w:rsid w:val="00C131C8"/>
    <w:rsid w:val="00C205BC"/>
    <w:rsid w:val="00C21D96"/>
    <w:rsid w:val="00C26710"/>
    <w:rsid w:val="00C34FC2"/>
    <w:rsid w:val="00C40103"/>
    <w:rsid w:val="00C53064"/>
    <w:rsid w:val="00C65523"/>
    <w:rsid w:val="00C6581F"/>
    <w:rsid w:val="00C65945"/>
    <w:rsid w:val="00C66212"/>
    <w:rsid w:val="00C668A0"/>
    <w:rsid w:val="00C76782"/>
    <w:rsid w:val="00C8531C"/>
    <w:rsid w:val="00C902AE"/>
    <w:rsid w:val="00C92FAB"/>
    <w:rsid w:val="00CA6D6C"/>
    <w:rsid w:val="00CF5304"/>
    <w:rsid w:val="00CF6BE2"/>
    <w:rsid w:val="00CF79BD"/>
    <w:rsid w:val="00D07E1B"/>
    <w:rsid w:val="00D27FF4"/>
    <w:rsid w:val="00D34300"/>
    <w:rsid w:val="00D35326"/>
    <w:rsid w:val="00D40143"/>
    <w:rsid w:val="00D4328A"/>
    <w:rsid w:val="00D468A7"/>
    <w:rsid w:val="00D5004B"/>
    <w:rsid w:val="00D5173A"/>
    <w:rsid w:val="00D600AD"/>
    <w:rsid w:val="00D75E4C"/>
    <w:rsid w:val="00D82525"/>
    <w:rsid w:val="00D851D8"/>
    <w:rsid w:val="00D87446"/>
    <w:rsid w:val="00D9069E"/>
    <w:rsid w:val="00D906E5"/>
    <w:rsid w:val="00D9524B"/>
    <w:rsid w:val="00D97631"/>
    <w:rsid w:val="00DA0E70"/>
    <w:rsid w:val="00DA210D"/>
    <w:rsid w:val="00DA450F"/>
    <w:rsid w:val="00DA5890"/>
    <w:rsid w:val="00DB04BE"/>
    <w:rsid w:val="00DB59E0"/>
    <w:rsid w:val="00DB7C1A"/>
    <w:rsid w:val="00DC2BB7"/>
    <w:rsid w:val="00DD59F9"/>
    <w:rsid w:val="00DE345D"/>
    <w:rsid w:val="00DE7219"/>
    <w:rsid w:val="00DF2F5E"/>
    <w:rsid w:val="00DF4926"/>
    <w:rsid w:val="00E05874"/>
    <w:rsid w:val="00E06226"/>
    <w:rsid w:val="00E108F6"/>
    <w:rsid w:val="00E10DEF"/>
    <w:rsid w:val="00E171EB"/>
    <w:rsid w:val="00E22DC1"/>
    <w:rsid w:val="00E23691"/>
    <w:rsid w:val="00E55521"/>
    <w:rsid w:val="00E60AA9"/>
    <w:rsid w:val="00E65A0C"/>
    <w:rsid w:val="00E70835"/>
    <w:rsid w:val="00E72F75"/>
    <w:rsid w:val="00E8362A"/>
    <w:rsid w:val="00E84FFC"/>
    <w:rsid w:val="00E863CD"/>
    <w:rsid w:val="00E87015"/>
    <w:rsid w:val="00E87D6E"/>
    <w:rsid w:val="00E91C60"/>
    <w:rsid w:val="00E979E1"/>
    <w:rsid w:val="00EB5B73"/>
    <w:rsid w:val="00EC470A"/>
    <w:rsid w:val="00ED0205"/>
    <w:rsid w:val="00ED0A48"/>
    <w:rsid w:val="00ED56A1"/>
    <w:rsid w:val="00EF27B1"/>
    <w:rsid w:val="00EF2B4E"/>
    <w:rsid w:val="00EF703C"/>
    <w:rsid w:val="00EF768F"/>
    <w:rsid w:val="00F02431"/>
    <w:rsid w:val="00F02FAD"/>
    <w:rsid w:val="00F049FE"/>
    <w:rsid w:val="00F13FE1"/>
    <w:rsid w:val="00F14D23"/>
    <w:rsid w:val="00F34206"/>
    <w:rsid w:val="00F3529E"/>
    <w:rsid w:val="00F37D33"/>
    <w:rsid w:val="00F43C22"/>
    <w:rsid w:val="00F6348A"/>
    <w:rsid w:val="00F6411A"/>
    <w:rsid w:val="00F74264"/>
    <w:rsid w:val="00F76C72"/>
    <w:rsid w:val="00F833BF"/>
    <w:rsid w:val="00F96266"/>
    <w:rsid w:val="00F97BE2"/>
    <w:rsid w:val="00FA33EB"/>
    <w:rsid w:val="00FA3B00"/>
    <w:rsid w:val="00FA3DA4"/>
    <w:rsid w:val="00FA6E0A"/>
    <w:rsid w:val="00FA70E9"/>
    <w:rsid w:val="00FB7055"/>
    <w:rsid w:val="00FC0D3A"/>
    <w:rsid w:val="00FC1236"/>
    <w:rsid w:val="00FC3EE2"/>
    <w:rsid w:val="00FC5152"/>
    <w:rsid w:val="00FC5B0D"/>
    <w:rsid w:val="00FC7DB7"/>
    <w:rsid w:val="00FE126C"/>
    <w:rsid w:val="00FE6EC9"/>
    <w:rsid w:val="00FF3A9F"/>
    <w:rsid w:val="00FF7B65"/>
    <w:rsid w:val="04493016"/>
    <w:rsid w:val="07763AA4"/>
    <w:rsid w:val="1B16367A"/>
    <w:rsid w:val="25371D1D"/>
    <w:rsid w:val="28E52DBC"/>
    <w:rsid w:val="2C225443"/>
    <w:rsid w:val="2D0C312C"/>
    <w:rsid w:val="385C1353"/>
    <w:rsid w:val="52B94C58"/>
    <w:rsid w:val="534E0725"/>
    <w:rsid w:val="55432278"/>
    <w:rsid w:val="5F230DA1"/>
    <w:rsid w:val="6E39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7865B"/>
  <w15:docId w15:val="{0220E3C6-124B-4370-AF0D-6093D0E4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192" w:firstLine="538"/>
    </w:pPr>
    <w:rPr>
      <w:sz w:val="28"/>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customStyle="1" w:styleId="NormalCharacter">
    <w:name w:val="NormalCharacter"/>
    <w:semiHidden/>
    <w:qFormat/>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a">
    <w:name w:val="List Paragraph"/>
    <w:basedOn w:val="a"/>
    <w:uiPriority w:val="99"/>
    <w:rsid w:val="002D7109"/>
    <w:pPr>
      <w:ind w:firstLineChars="200" w:firstLine="420"/>
    </w:pPr>
  </w:style>
  <w:style w:type="paragraph" w:styleId="ab">
    <w:name w:val="Plain Text"/>
    <w:basedOn w:val="a"/>
    <w:link w:val="ac"/>
    <w:rsid w:val="00827512"/>
    <w:rPr>
      <w:rFonts w:ascii="宋体" w:eastAsia="宋体" w:hAnsi="Courier New" w:cs="Times New Roman"/>
      <w:szCs w:val="21"/>
    </w:rPr>
  </w:style>
  <w:style w:type="character" w:customStyle="1" w:styleId="ac">
    <w:name w:val="纯文本 字符"/>
    <w:basedOn w:val="a0"/>
    <w:link w:val="ab"/>
    <w:rsid w:val="00827512"/>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610</Words>
  <Characters>3481</Characters>
  <Application>Microsoft Office Word</Application>
  <DocSecurity>0</DocSecurity>
  <Lines>29</Lines>
  <Paragraphs>8</Paragraphs>
  <ScaleCrop>false</ScaleCrop>
  <Company>P R 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33</cp:revision>
  <cp:lastPrinted>2022-06-22T03:02:00Z</cp:lastPrinted>
  <dcterms:created xsi:type="dcterms:W3CDTF">2022-01-26T08:38:00Z</dcterms:created>
  <dcterms:modified xsi:type="dcterms:W3CDTF">2022-09-21T07:19:00Z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23DC75D4D5724489A10902858970C1A0</vt:lpwstr>
  </property>
</Properties>
</file>