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D25C" w14:textId="77777777" w:rsidR="00977AB6" w:rsidRPr="008936FD" w:rsidRDefault="00507514">
      <w:pPr>
        <w:pStyle w:val="a9"/>
        <w:spacing w:line="440" w:lineRule="exact"/>
        <w:jc w:val="center"/>
        <w:rPr>
          <w:bCs/>
          <w:sz w:val="32"/>
          <w:szCs w:val="32"/>
        </w:rPr>
      </w:pPr>
      <w:r w:rsidRPr="008936FD">
        <w:rPr>
          <w:rFonts w:hint="eastAsia"/>
          <w:bCs/>
          <w:sz w:val="32"/>
          <w:szCs w:val="32"/>
        </w:rPr>
        <w:t>浙中文化创意中心项目基坑开挖范围</w:t>
      </w:r>
      <w:proofErr w:type="gramStart"/>
      <w:r w:rsidRPr="008936FD">
        <w:rPr>
          <w:rFonts w:hint="eastAsia"/>
          <w:bCs/>
          <w:sz w:val="32"/>
          <w:szCs w:val="32"/>
        </w:rPr>
        <w:t>内普通</w:t>
      </w:r>
      <w:proofErr w:type="gramEnd"/>
      <w:r w:rsidRPr="008936FD">
        <w:rPr>
          <w:rFonts w:hint="eastAsia"/>
          <w:bCs/>
          <w:sz w:val="32"/>
          <w:szCs w:val="32"/>
        </w:rPr>
        <w:t>建筑用砂石矿开挖涉及的矿产品</w:t>
      </w:r>
    </w:p>
    <w:p w14:paraId="32BCEB9D" w14:textId="77777777" w:rsidR="00977AB6" w:rsidRDefault="00507514">
      <w:pPr>
        <w:pStyle w:val="a9"/>
        <w:spacing w:line="440" w:lineRule="exact"/>
        <w:jc w:val="center"/>
        <w:rPr>
          <w:color w:val="0D0D0D" w:themeColor="text1" w:themeTint="F2"/>
        </w:rPr>
      </w:pPr>
      <w:r>
        <w:rPr>
          <w:rFonts w:hint="eastAsia"/>
          <w:b/>
          <w:bCs/>
          <w:color w:val="0D0D0D" w:themeColor="text1" w:themeTint="F2"/>
          <w:sz w:val="36"/>
          <w:szCs w:val="36"/>
        </w:rPr>
        <w:t>拍卖竞买须知</w:t>
      </w:r>
    </w:p>
    <w:p w14:paraId="14A7B7DC" w14:textId="77777777" w:rsidR="00977AB6" w:rsidRDefault="00977AB6">
      <w:pPr>
        <w:pStyle w:val="a9"/>
        <w:spacing w:beforeLines="50" w:before="156" w:beforeAutospacing="0" w:afterLines="50" w:after="156" w:afterAutospacing="0" w:line="320" w:lineRule="exact"/>
        <w:ind w:leftChars="-100" w:left="-210" w:rightChars="-100" w:right="-210"/>
        <w:rPr>
          <w:rFonts w:ascii="Arial" w:hAnsi="Arial" w:cs="Arial"/>
          <w:color w:val="000000" w:themeColor="text1"/>
        </w:rPr>
      </w:pPr>
    </w:p>
    <w:p w14:paraId="014533E4" w14:textId="77777777" w:rsidR="00977AB6" w:rsidRDefault="00507514">
      <w:pPr>
        <w:pStyle w:val="a9"/>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为规范拍卖当事人的行为，根据《中华人民共和国拍卖法》、《中华人民共和国合同法》、《拍卖管理办法》等相关法律、法规，现就本场拍卖会有关竞买事项告知如下：</w:t>
      </w:r>
    </w:p>
    <w:p w14:paraId="56E45172" w14:textId="77777777" w:rsidR="00977AB6" w:rsidRDefault="00507514">
      <w:pPr>
        <w:pStyle w:val="a9"/>
        <w:numPr>
          <w:ilvl w:val="0"/>
          <w:numId w:val="1"/>
        </w:numPr>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拍卖标的及相关情况</w:t>
      </w:r>
    </w:p>
    <w:p w14:paraId="10157549" w14:textId="77777777" w:rsidR="00977AB6" w:rsidRPr="008936FD" w:rsidRDefault="00507514">
      <w:pPr>
        <w:pStyle w:val="a9"/>
        <w:spacing w:line="360" w:lineRule="exact"/>
        <w:ind w:rightChars="50" w:right="105" w:firstLineChars="200" w:firstLine="480"/>
        <w:rPr>
          <w:rStyle w:val="aa"/>
          <w:rFonts w:asciiTheme="majorEastAsia" w:eastAsiaTheme="majorEastAsia" w:hAnsiTheme="majorEastAsia" w:cs="Arial"/>
        </w:rPr>
      </w:pPr>
      <w:r w:rsidRPr="008936FD">
        <w:rPr>
          <w:rStyle w:val="aa"/>
          <w:rFonts w:asciiTheme="majorEastAsia" w:eastAsiaTheme="majorEastAsia" w:hAnsiTheme="majorEastAsia" w:cs="Arial"/>
          <w:b w:val="0"/>
        </w:rPr>
        <w:t>1.</w:t>
      </w:r>
      <w:r w:rsidRPr="008936FD">
        <w:rPr>
          <w:rFonts w:hint="eastAsia"/>
        </w:rPr>
        <w:t>标的物及数量：浙中文化创意中心项目基坑开挖范围</w:t>
      </w:r>
      <w:proofErr w:type="gramStart"/>
      <w:r w:rsidRPr="008936FD">
        <w:rPr>
          <w:rFonts w:hint="eastAsia"/>
        </w:rPr>
        <w:t>内普通</w:t>
      </w:r>
      <w:proofErr w:type="gramEnd"/>
      <w:r w:rsidRPr="008936FD">
        <w:rPr>
          <w:rFonts w:hint="eastAsia"/>
        </w:rPr>
        <w:t>建筑用砂石矿开挖涉及的矿产品</w:t>
      </w:r>
    </w:p>
    <w:p w14:paraId="22411B8E" w14:textId="77777777" w:rsidR="00977AB6" w:rsidRPr="008936FD" w:rsidRDefault="00507514">
      <w:pPr>
        <w:pStyle w:val="a9"/>
        <w:spacing w:beforeLines="50" w:before="156" w:beforeAutospacing="0" w:afterLines="50" w:after="156" w:afterAutospacing="0" w:line="320" w:lineRule="exact"/>
        <w:ind w:leftChars="300" w:left="630" w:rightChars="-100" w:right="-210"/>
        <w:rPr>
          <w:rFonts w:asciiTheme="majorEastAsia" w:eastAsiaTheme="majorEastAsia" w:hAnsiTheme="majorEastAsia" w:cs="Arial"/>
        </w:rPr>
      </w:pPr>
      <w:r w:rsidRPr="008936FD">
        <w:rPr>
          <w:rFonts w:hint="eastAsia"/>
        </w:rPr>
        <w:t>可采砂石控制量约</w:t>
      </w:r>
      <w:r w:rsidRPr="008936FD">
        <w:t>为：7.84</w:t>
      </w:r>
      <w:r w:rsidRPr="008936FD">
        <w:rPr>
          <w:rFonts w:hint="eastAsia"/>
        </w:rPr>
        <w:t>万</w:t>
      </w:r>
      <w:r w:rsidRPr="008936FD">
        <w:t>立方米</w:t>
      </w:r>
      <w:r w:rsidRPr="008936FD">
        <w:rPr>
          <w:rFonts w:hint="eastAsia"/>
        </w:rPr>
        <w:t>。</w:t>
      </w:r>
    </w:p>
    <w:p w14:paraId="36CAEC9B" w14:textId="2FFA54FB" w:rsidR="00977AB6" w:rsidRPr="008936FD" w:rsidRDefault="00507514">
      <w:pPr>
        <w:pStyle w:val="a9"/>
        <w:spacing w:line="360" w:lineRule="exact"/>
        <w:ind w:rightChars="50" w:right="105" w:firstLineChars="200" w:firstLine="480"/>
      </w:pPr>
      <w:r w:rsidRPr="008936FD">
        <w:rPr>
          <w:rStyle w:val="aa"/>
          <w:rFonts w:asciiTheme="majorEastAsia" w:eastAsiaTheme="majorEastAsia" w:hAnsiTheme="majorEastAsia" w:cs="Arial"/>
          <w:b w:val="0"/>
        </w:rPr>
        <w:t>2.位置：</w:t>
      </w:r>
      <w:r w:rsidRPr="008936FD">
        <w:rPr>
          <w:rStyle w:val="aa"/>
          <w:rFonts w:asciiTheme="majorEastAsia" w:eastAsiaTheme="majorEastAsia" w:hAnsiTheme="majorEastAsia" w:cs="Arial" w:hint="eastAsia"/>
          <w:b w:val="0"/>
        </w:rPr>
        <w:t>位于</w:t>
      </w:r>
      <w:r w:rsidRPr="008936FD">
        <w:rPr>
          <w:rFonts w:hint="eastAsia"/>
        </w:rPr>
        <w:t>金华市</w:t>
      </w:r>
      <w:proofErr w:type="gramStart"/>
      <w:r w:rsidRPr="008936FD">
        <w:rPr>
          <w:rFonts w:hint="eastAsia"/>
        </w:rPr>
        <w:t>婺</w:t>
      </w:r>
      <w:proofErr w:type="gramEnd"/>
      <w:r w:rsidRPr="008936FD">
        <w:rPr>
          <w:rFonts w:hint="eastAsia"/>
        </w:rPr>
        <w:t>城区紫金南</w:t>
      </w:r>
      <w:r w:rsidR="00DE05E5">
        <w:rPr>
          <w:rFonts w:hint="eastAsia"/>
        </w:rPr>
        <w:t>街</w:t>
      </w:r>
      <w:r w:rsidRPr="008936FD">
        <w:rPr>
          <w:rFonts w:hint="eastAsia"/>
        </w:rPr>
        <w:t>西侧，临</w:t>
      </w:r>
      <w:proofErr w:type="gramStart"/>
      <w:r w:rsidRPr="008936FD">
        <w:rPr>
          <w:rFonts w:hint="eastAsia"/>
        </w:rPr>
        <w:t>江</w:t>
      </w:r>
      <w:r w:rsidR="00DE05E5">
        <w:rPr>
          <w:rFonts w:hint="eastAsia"/>
        </w:rPr>
        <w:t>东</w:t>
      </w:r>
      <w:r w:rsidRPr="008936FD">
        <w:rPr>
          <w:rFonts w:hint="eastAsia"/>
        </w:rPr>
        <w:t>路</w:t>
      </w:r>
      <w:proofErr w:type="gramEnd"/>
      <w:r w:rsidRPr="008936FD">
        <w:rPr>
          <w:rFonts w:hint="eastAsia"/>
        </w:rPr>
        <w:t>南侧，文津路北侧，地块用地红</w:t>
      </w:r>
      <w:proofErr w:type="gramStart"/>
      <w:r w:rsidRPr="008936FD">
        <w:rPr>
          <w:rFonts w:hint="eastAsia"/>
        </w:rPr>
        <w:t>线面积</w:t>
      </w:r>
      <w:proofErr w:type="gramEnd"/>
      <w:r w:rsidRPr="008936FD">
        <w:t>28184.8</w:t>
      </w:r>
      <w:r w:rsidRPr="008936FD">
        <w:rPr>
          <w:rFonts w:hint="eastAsia"/>
        </w:rPr>
        <w:t>m2，北侧（二层）基坑开挖面积约 8002m2，南侧（一层）基坑开挖面积约 16793m2，详见表1-1和表1-2.</w:t>
      </w:r>
    </w:p>
    <w:p w14:paraId="21E3BDDE" w14:textId="77777777" w:rsidR="00977AB6" w:rsidRDefault="00507514">
      <w:pPr>
        <w:tabs>
          <w:tab w:val="left" w:pos="2121"/>
        </w:tabs>
        <w:spacing w:before="61" w:after="3"/>
        <w:ind w:left="1260"/>
        <w:jc w:val="left"/>
        <w:rPr>
          <w:color w:val="FF0000"/>
        </w:rPr>
      </w:pPr>
      <w:r>
        <w:rPr>
          <w:b/>
          <w:sz w:val="24"/>
        </w:rPr>
        <w:t>表</w:t>
      </w:r>
      <w:r>
        <w:rPr>
          <w:b/>
          <w:spacing w:val="-62"/>
          <w:sz w:val="24"/>
        </w:rPr>
        <w:t xml:space="preserve"> </w:t>
      </w:r>
      <w:r>
        <w:rPr>
          <w:rFonts w:ascii="Times New Roman" w:eastAsia="Times New Roman"/>
          <w:b/>
          <w:sz w:val="24"/>
        </w:rPr>
        <w:t>1-1</w:t>
      </w:r>
      <w:r>
        <w:rPr>
          <w:rFonts w:ascii="Times New Roman" w:eastAsia="Times New Roman"/>
          <w:b/>
          <w:sz w:val="24"/>
        </w:rPr>
        <w:tab/>
      </w:r>
      <w:r>
        <w:rPr>
          <w:b/>
          <w:sz w:val="24"/>
        </w:rPr>
        <w:t>地块规划红线范围拐点坐标</w:t>
      </w:r>
      <w:r>
        <w:rPr>
          <w:sz w:val="24"/>
        </w:rPr>
        <w:t>（</w:t>
      </w:r>
      <w:r>
        <w:rPr>
          <w:rFonts w:ascii="Times New Roman" w:eastAsia="Times New Roman"/>
        </w:rPr>
        <w:t>2000</w:t>
      </w:r>
      <w:r>
        <w:rPr>
          <w:rFonts w:ascii="Times New Roman" w:eastAsia="Times New Roman"/>
          <w:spacing w:val="-1"/>
        </w:rPr>
        <w:t xml:space="preserve"> </w:t>
      </w:r>
      <w:r>
        <w:t>国家大地坐标系）</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1"/>
        <w:gridCol w:w="1545"/>
        <w:gridCol w:w="1776"/>
        <w:gridCol w:w="845"/>
        <w:gridCol w:w="1521"/>
        <w:gridCol w:w="1776"/>
      </w:tblGrid>
      <w:tr w:rsidR="00977AB6" w14:paraId="0CEB294A" w14:textId="77777777">
        <w:trPr>
          <w:trHeight w:val="681"/>
        </w:trPr>
        <w:tc>
          <w:tcPr>
            <w:tcW w:w="971" w:type="dxa"/>
          </w:tcPr>
          <w:p w14:paraId="38F7B308" w14:textId="77777777" w:rsidR="00977AB6" w:rsidRDefault="00507514">
            <w:pPr>
              <w:pStyle w:val="TableParagraph"/>
              <w:spacing w:before="67" w:line="242" w:lineRule="auto"/>
              <w:ind w:left="274" w:right="266"/>
              <w:rPr>
                <w:rFonts w:ascii="宋体" w:eastAsia="宋体"/>
              </w:rPr>
            </w:pPr>
            <w:r>
              <w:rPr>
                <w:rFonts w:ascii="宋体" w:eastAsia="宋体" w:hint="eastAsia"/>
              </w:rPr>
              <w:t>拐点编号</w:t>
            </w:r>
          </w:p>
        </w:tc>
        <w:tc>
          <w:tcPr>
            <w:tcW w:w="1545" w:type="dxa"/>
          </w:tcPr>
          <w:p w14:paraId="119C1B64" w14:textId="77777777" w:rsidR="00977AB6" w:rsidRDefault="00507514">
            <w:pPr>
              <w:pStyle w:val="TableParagraph"/>
              <w:spacing w:before="135"/>
              <w:ind w:left="9"/>
              <w:jc w:val="center"/>
              <w:rPr>
                <w:rFonts w:ascii="宋体"/>
              </w:rPr>
            </w:pPr>
            <w:r>
              <w:rPr>
                <w:rFonts w:ascii="宋体"/>
                <w:w w:val="99"/>
              </w:rPr>
              <w:t>X</w:t>
            </w:r>
          </w:p>
        </w:tc>
        <w:tc>
          <w:tcPr>
            <w:tcW w:w="1776" w:type="dxa"/>
          </w:tcPr>
          <w:p w14:paraId="2CD38ADE" w14:textId="77777777" w:rsidR="00977AB6" w:rsidRDefault="00507514">
            <w:pPr>
              <w:pStyle w:val="TableParagraph"/>
              <w:spacing w:before="135"/>
              <w:ind w:left="10"/>
              <w:jc w:val="center"/>
              <w:rPr>
                <w:rFonts w:ascii="宋体"/>
              </w:rPr>
            </w:pPr>
            <w:r>
              <w:rPr>
                <w:rFonts w:ascii="宋体"/>
                <w:w w:val="99"/>
              </w:rPr>
              <w:t>Y</w:t>
            </w:r>
          </w:p>
        </w:tc>
        <w:tc>
          <w:tcPr>
            <w:tcW w:w="845" w:type="dxa"/>
          </w:tcPr>
          <w:p w14:paraId="4A8341B0" w14:textId="77777777" w:rsidR="00977AB6" w:rsidRDefault="00507514">
            <w:pPr>
              <w:pStyle w:val="TableParagraph"/>
              <w:spacing w:line="244" w:lineRule="auto"/>
              <w:ind w:left="211" w:right="203"/>
              <w:rPr>
                <w:rFonts w:ascii="宋体" w:eastAsia="宋体"/>
              </w:rPr>
            </w:pPr>
            <w:r>
              <w:rPr>
                <w:rFonts w:ascii="宋体" w:eastAsia="宋体" w:hint="eastAsia"/>
              </w:rPr>
              <w:t>拐点编号</w:t>
            </w:r>
          </w:p>
        </w:tc>
        <w:tc>
          <w:tcPr>
            <w:tcW w:w="1521" w:type="dxa"/>
          </w:tcPr>
          <w:p w14:paraId="287BCB04" w14:textId="77777777" w:rsidR="00977AB6" w:rsidRDefault="00507514">
            <w:pPr>
              <w:pStyle w:val="TableParagraph"/>
              <w:spacing w:before="135"/>
              <w:ind w:left="10"/>
              <w:jc w:val="center"/>
              <w:rPr>
                <w:rFonts w:ascii="宋体"/>
              </w:rPr>
            </w:pPr>
            <w:r>
              <w:rPr>
                <w:rFonts w:ascii="宋体"/>
                <w:w w:val="99"/>
              </w:rPr>
              <w:t>X</w:t>
            </w:r>
          </w:p>
        </w:tc>
        <w:tc>
          <w:tcPr>
            <w:tcW w:w="1776" w:type="dxa"/>
          </w:tcPr>
          <w:p w14:paraId="30281645" w14:textId="77777777" w:rsidR="00977AB6" w:rsidRDefault="00507514">
            <w:pPr>
              <w:pStyle w:val="TableParagraph"/>
              <w:spacing w:before="135"/>
              <w:ind w:left="6"/>
              <w:jc w:val="center"/>
              <w:rPr>
                <w:rFonts w:ascii="宋体"/>
              </w:rPr>
            </w:pPr>
            <w:r>
              <w:rPr>
                <w:rFonts w:ascii="宋体"/>
                <w:w w:val="99"/>
              </w:rPr>
              <w:t>Y</w:t>
            </w:r>
          </w:p>
        </w:tc>
      </w:tr>
      <w:tr w:rsidR="00977AB6" w14:paraId="1B1FD514" w14:textId="77777777">
        <w:trPr>
          <w:trHeight w:val="272"/>
        </w:trPr>
        <w:tc>
          <w:tcPr>
            <w:tcW w:w="971" w:type="dxa"/>
          </w:tcPr>
          <w:p w14:paraId="349BB5A7" w14:textId="77777777" w:rsidR="00977AB6" w:rsidRDefault="00507514">
            <w:pPr>
              <w:pStyle w:val="TableParagraph"/>
              <w:spacing w:before="1" w:line="251" w:lineRule="exact"/>
              <w:ind w:left="380"/>
              <w:rPr>
                <w:rFonts w:ascii="宋体"/>
              </w:rPr>
            </w:pPr>
            <w:r>
              <w:rPr>
                <w:rFonts w:ascii="宋体"/>
              </w:rPr>
              <w:t>J1</w:t>
            </w:r>
          </w:p>
        </w:tc>
        <w:tc>
          <w:tcPr>
            <w:tcW w:w="1545" w:type="dxa"/>
          </w:tcPr>
          <w:p w14:paraId="5494A33B" w14:textId="77777777" w:rsidR="00977AB6" w:rsidRDefault="00507514">
            <w:pPr>
              <w:pStyle w:val="TableParagraph"/>
              <w:spacing w:before="1" w:line="251" w:lineRule="exact"/>
              <w:ind w:left="174" w:right="165"/>
              <w:jc w:val="center"/>
              <w:rPr>
                <w:rFonts w:ascii="宋体"/>
              </w:rPr>
            </w:pPr>
            <w:r>
              <w:rPr>
                <w:rFonts w:ascii="宋体"/>
              </w:rPr>
              <w:t>3219750.066</w:t>
            </w:r>
          </w:p>
        </w:tc>
        <w:tc>
          <w:tcPr>
            <w:tcW w:w="1776" w:type="dxa"/>
          </w:tcPr>
          <w:p w14:paraId="6546E6EC" w14:textId="77777777" w:rsidR="00977AB6" w:rsidRDefault="00507514">
            <w:pPr>
              <w:pStyle w:val="TableParagraph"/>
              <w:spacing w:before="1" w:line="251" w:lineRule="exact"/>
              <w:ind w:left="342" w:right="333"/>
              <w:jc w:val="center"/>
              <w:rPr>
                <w:rFonts w:ascii="宋体"/>
              </w:rPr>
            </w:pPr>
            <w:r>
              <w:rPr>
                <w:rFonts w:ascii="宋体"/>
              </w:rPr>
              <w:t>457963.447</w:t>
            </w:r>
          </w:p>
        </w:tc>
        <w:tc>
          <w:tcPr>
            <w:tcW w:w="845" w:type="dxa"/>
          </w:tcPr>
          <w:p w14:paraId="6C15D96D" w14:textId="77777777" w:rsidR="00977AB6" w:rsidRDefault="00507514">
            <w:pPr>
              <w:pStyle w:val="TableParagraph"/>
              <w:spacing w:before="1" w:line="251" w:lineRule="exact"/>
              <w:ind w:left="317"/>
              <w:rPr>
                <w:rFonts w:ascii="宋体"/>
              </w:rPr>
            </w:pPr>
            <w:r>
              <w:rPr>
                <w:rFonts w:ascii="宋体"/>
              </w:rPr>
              <w:t>J6</w:t>
            </w:r>
          </w:p>
        </w:tc>
        <w:tc>
          <w:tcPr>
            <w:tcW w:w="1521" w:type="dxa"/>
          </w:tcPr>
          <w:p w14:paraId="1D4327CE" w14:textId="77777777" w:rsidR="00977AB6" w:rsidRDefault="00507514">
            <w:pPr>
              <w:pStyle w:val="TableParagraph"/>
              <w:spacing w:before="1" w:line="251" w:lineRule="exact"/>
              <w:ind w:left="163" w:right="153"/>
              <w:jc w:val="center"/>
              <w:rPr>
                <w:rFonts w:ascii="宋体"/>
              </w:rPr>
            </w:pPr>
            <w:r>
              <w:rPr>
                <w:rFonts w:ascii="宋体"/>
              </w:rPr>
              <w:t>3219489.778</w:t>
            </w:r>
          </w:p>
        </w:tc>
        <w:tc>
          <w:tcPr>
            <w:tcW w:w="1776" w:type="dxa"/>
          </w:tcPr>
          <w:p w14:paraId="345AD165" w14:textId="77777777" w:rsidR="00977AB6" w:rsidRDefault="00507514">
            <w:pPr>
              <w:pStyle w:val="TableParagraph"/>
              <w:spacing w:before="1" w:line="251" w:lineRule="exact"/>
              <w:ind w:left="342" w:right="332"/>
              <w:jc w:val="center"/>
              <w:rPr>
                <w:rFonts w:ascii="宋体"/>
              </w:rPr>
            </w:pPr>
            <w:r>
              <w:rPr>
                <w:rFonts w:ascii="宋体"/>
              </w:rPr>
              <w:t>457999.397</w:t>
            </w:r>
          </w:p>
        </w:tc>
      </w:tr>
      <w:tr w:rsidR="00977AB6" w14:paraId="703435D4" w14:textId="77777777">
        <w:trPr>
          <w:trHeight w:val="272"/>
        </w:trPr>
        <w:tc>
          <w:tcPr>
            <w:tcW w:w="971" w:type="dxa"/>
          </w:tcPr>
          <w:p w14:paraId="2F3E1B63" w14:textId="77777777" w:rsidR="00977AB6" w:rsidRDefault="00507514">
            <w:pPr>
              <w:pStyle w:val="TableParagraph"/>
              <w:spacing w:before="2" w:line="251" w:lineRule="exact"/>
              <w:ind w:left="380"/>
              <w:rPr>
                <w:rFonts w:ascii="宋体"/>
              </w:rPr>
            </w:pPr>
            <w:r>
              <w:rPr>
                <w:rFonts w:ascii="宋体"/>
              </w:rPr>
              <w:t>J2</w:t>
            </w:r>
          </w:p>
        </w:tc>
        <w:tc>
          <w:tcPr>
            <w:tcW w:w="1545" w:type="dxa"/>
          </w:tcPr>
          <w:p w14:paraId="7CAD6480" w14:textId="77777777" w:rsidR="00977AB6" w:rsidRDefault="00507514">
            <w:pPr>
              <w:pStyle w:val="TableParagraph"/>
              <w:spacing w:before="2" w:line="251" w:lineRule="exact"/>
              <w:ind w:left="174" w:right="165"/>
              <w:jc w:val="center"/>
              <w:rPr>
                <w:rFonts w:ascii="宋体"/>
              </w:rPr>
            </w:pPr>
            <w:r>
              <w:rPr>
                <w:rFonts w:ascii="宋体"/>
              </w:rPr>
              <w:t>3219752.105</w:t>
            </w:r>
          </w:p>
        </w:tc>
        <w:tc>
          <w:tcPr>
            <w:tcW w:w="1776" w:type="dxa"/>
          </w:tcPr>
          <w:p w14:paraId="22F583E7" w14:textId="77777777" w:rsidR="00977AB6" w:rsidRDefault="00507514">
            <w:pPr>
              <w:pStyle w:val="TableParagraph"/>
              <w:spacing w:before="2" w:line="251" w:lineRule="exact"/>
              <w:ind w:left="342" w:right="333"/>
              <w:jc w:val="center"/>
              <w:rPr>
                <w:rFonts w:ascii="宋体"/>
              </w:rPr>
            </w:pPr>
            <w:r>
              <w:rPr>
                <w:rFonts w:ascii="宋体"/>
              </w:rPr>
              <w:t>457967.826</w:t>
            </w:r>
          </w:p>
        </w:tc>
        <w:tc>
          <w:tcPr>
            <w:tcW w:w="845" w:type="dxa"/>
          </w:tcPr>
          <w:p w14:paraId="3FD20312" w14:textId="77777777" w:rsidR="00977AB6" w:rsidRDefault="00507514">
            <w:pPr>
              <w:pStyle w:val="TableParagraph"/>
              <w:spacing w:before="2" w:line="251" w:lineRule="exact"/>
              <w:ind w:left="317"/>
              <w:rPr>
                <w:rFonts w:ascii="宋体"/>
              </w:rPr>
            </w:pPr>
            <w:r>
              <w:rPr>
                <w:rFonts w:ascii="宋体"/>
              </w:rPr>
              <w:t>J7</w:t>
            </w:r>
          </w:p>
        </w:tc>
        <w:tc>
          <w:tcPr>
            <w:tcW w:w="1521" w:type="dxa"/>
          </w:tcPr>
          <w:p w14:paraId="76CC8E52" w14:textId="77777777" w:rsidR="00977AB6" w:rsidRDefault="00507514">
            <w:pPr>
              <w:pStyle w:val="TableParagraph"/>
              <w:spacing w:before="2" w:line="251" w:lineRule="exact"/>
              <w:ind w:left="163" w:right="153"/>
              <w:jc w:val="center"/>
              <w:rPr>
                <w:rFonts w:ascii="宋体"/>
              </w:rPr>
            </w:pPr>
            <w:r>
              <w:rPr>
                <w:rFonts w:ascii="宋体"/>
              </w:rPr>
              <w:t>3219479.849</w:t>
            </w:r>
          </w:p>
        </w:tc>
        <w:tc>
          <w:tcPr>
            <w:tcW w:w="1776" w:type="dxa"/>
          </w:tcPr>
          <w:p w14:paraId="207CD641" w14:textId="77777777" w:rsidR="00977AB6" w:rsidRDefault="00507514">
            <w:pPr>
              <w:pStyle w:val="TableParagraph"/>
              <w:spacing w:before="2" w:line="251" w:lineRule="exact"/>
              <w:ind w:left="342" w:right="332"/>
              <w:jc w:val="center"/>
              <w:rPr>
                <w:rFonts w:ascii="宋体"/>
              </w:rPr>
            </w:pPr>
            <w:r>
              <w:rPr>
                <w:rFonts w:ascii="宋体"/>
              </w:rPr>
              <w:t>457980.234</w:t>
            </w:r>
          </w:p>
        </w:tc>
      </w:tr>
      <w:tr w:rsidR="00977AB6" w14:paraId="46C2EE5F" w14:textId="77777777">
        <w:trPr>
          <w:trHeight w:val="272"/>
        </w:trPr>
        <w:tc>
          <w:tcPr>
            <w:tcW w:w="971" w:type="dxa"/>
          </w:tcPr>
          <w:p w14:paraId="1E020B64" w14:textId="77777777" w:rsidR="00977AB6" w:rsidRDefault="00507514">
            <w:pPr>
              <w:pStyle w:val="TableParagraph"/>
              <w:spacing w:line="252" w:lineRule="exact"/>
              <w:ind w:left="380"/>
              <w:rPr>
                <w:rFonts w:ascii="宋体"/>
              </w:rPr>
            </w:pPr>
            <w:r>
              <w:rPr>
                <w:rFonts w:ascii="宋体"/>
              </w:rPr>
              <w:t>J3</w:t>
            </w:r>
          </w:p>
        </w:tc>
        <w:tc>
          <w:tcPr>
            <w:tcW w:w="1545" w:type="dxa"/>
          </w:tcPr>
          <w:p w14:paraId="4F7BBB17" w14:textId="77777777" w:rsidR="00977AB6" w:rsidRDefault="00507514">
            <w:pPr>
              <w:pStyle w:val="TableParagraph"/>
              <w:spacing w:line="252" w:lineRule="exact"/>
              <w:ind w:left="174" w:right="165"/>
              <w:jc w:val="center"/>
              <w:rPr>
                <w:rFonts w:ascii="宋体"/>
              </w:rPr>
            </w:pPr>
            <w:r>
              <w:rPr>
                <w:rFonts w:ascii="宋体"/>
              </w:rPr>
              <w:t>3219713.412</w:t>
            </w:r>
          </w:p>
        </w:tc>
        <w:tc>
          <w:tcPr>
            <w:tcW w:w="1776" w:type="dxa"/>
          </w:tcPr>
          <w:p w14:paraId="58C5514C" w14:textId="77777777" w:rsidR="00977AB6" w:rsidRDefault="00507514">
            <w:pPr>
              <w:pStyle w:val="TableParagraph"/>
              <w:spacing w:line="252" w:lineRule="exact"/>
              <w:ind w:left="342" w:right="333"/>
              <w:jc w:val="center"/>
              <w:rPr>
                <w:rFonts w:ascii="宋体"/>
              </w:rPr>
            </w:pPr>
            <w:r>
              <w:rPr>
                <w:rFonts w:ascii="宋体"/>
              </w:rPr>
              <w:t>458061.412</w:t>
            </w:r>
          </w:p>
        </w:tc>
        <w:tc>
          <w:tcPr>
            <w:tcW w:w="845" w:type="dxa"/>
          </w:tcPr>
          <w:p w14:paraId="24CCB8B0" w14:textId="77777777" w:rsidR="00977AB6" w:rsidRDefault="00507514">
            <w:pPr>
              <w:pStyle w:val="TableParagraph"/>
              <w:spacing w:line="252" w:lineRule="exact"/>
              <w:ind w:left="317"/>
              <w:rPr>
                <w:rFonts w:ascii="宋体"/>
              </w:rPr>
            </w:pPr>
            <w:r>
              <w:rPr>
                <w:rFonts w:ascii="宋体"/>
              </w:rPr>
              <w:t>J8</w:t>
            </w:r>
          </w:p>
        </w:tc>
        <w:tc>
          <w:tcPr>
            <w:tcW w:w="1521" w:type="dxa"/>
          </w:tcPr>
          <w:p w14:paraId="5CD5F6E0" w14:textId="77777777" w:rsidR="00977AB6" w:rsidRDefault="00507514">
            <w:pPr>
              <w:pStyle w:val="TableParagraph"/>
              <w:spacing w:line="252" w:lineRule="exact"/>
              <w:ind w:left="163" w:right="153"/>
              <w:jc w:val="center"/>
              <w:rPr>
                <w:rFonts w:ascii="宋体"/>
              </w:rPr>
            </w:pPr>
            <w:r>
              <w:rPr>
                <w:rFonts w:ascii="宋体"/>
              </w:rPr>
              <w:t>3219506.396</w:t>
            </w:r>
          </w:p>
        </w:tc>
        <w:tc>
          <w:tcPr>
            <w:tcW w:w="1776" w:type="dxa"/>
          </w:tcPr>
          <w:p w14:paraId="176CDF65" w14:textId="77777777" w:rsidR="00977AB6" w:rsidRDefault="00507514">
            <w:pPr>
              <w:pStyle w:val="TableParagraph"/>
              <w:spacing w:line="252" w:lineRule="exact"/>
              <w:ind w:left="342" w:right="332"/>
              <w:jc w:val="center"/>
              <w:rPr>
                <w:rFonts w:ascii="宋体"/>
              </w:rPr>
            </w:pPr>
            <w:r>
              <w:rPr>
                <w:rFonts w:ascii="宋体"/>
              </w:rPr>
              <w:t>457896.596</w:t>
            </w:r>
          </w:p>
        </w:tc>
      </w:tr>
      <w:tr w:rsidR="00977AB6" w14:paraId="3BC46C2C" w14:textId="77777777">
        <w:trPr>
          <w:trHeight w:val="271"/>
        </w:trPr>
        <w:tc>
          <w:tcPr>
            <w:tcW w:w="971" w:type="dxa"/>
          </w:tcPr>
          <w:p w14:paraId="3F3F93B2" w14:textId="77777777" w:rsidR="00977AB6" w:rsidRDefault="00507514">
            <w:pPr>
              <w:pStyle w:val="TableParagraph"/>
              <w:spacing w:before="1" w:line="251" w:lineRule="exact"/>
              <w:ind w:left="380"/>
              <w:rPr>
                <w:rFonts w:ascii="宋体"/>
              </w:rPr>
            </w:pPr>
            <w:r>
              <w:rPr>
                <w:rFonts w:ascii="宋体"/>
              </w:rPr>
              <w:t>J4</w:t>
            </w:r>
          </w:p>
        </w:tc>
        <w:tc>
          <w:tcPr>
            <w:tcW w:w="1545" w:type="dxa"/>
          </w:tcPr>
          <w:p w14:paraId="0511DDB2" w14:textId="77777777" w:rsidR="00977AB6" w:rsidRDefault="00507514">
            <w:pPr>
              <w:pStyle w:val="TableParagraph"/>
              <w:spacing w:before="1" w:line="251" w:lineRule="exact"/>
              <w:ind w:left="174" w:right="165"/>
              <w:jc w:val="center"/>
              <w:rPr>
                <w:rFonts w:ascii="宋体"/>
              </w:rPr>
            </w:pPr>
            <w:r>
              <w:rPr>
                <w:rFonts w:ascii="宋体"/>
              </w:rPr>
              <w:t>3219701.955</w:t>
            </w:r>
          </w:p>
        </w:tc>
        <w:tc>
          <w:tcPr>
            <w:tcW w:w="1776" w:type="dxa"/>
          </w:tcPr>
          <w:p w14:paraId="1972BAD3" w14:textId="77777777" w:rsidR="00977AB6" w:rsidRDefault="00507514">
            <w:pPr>
              <w:pStyle w:val="TableParagraph"/>
              <w:spacing w:before="1" w:line="251" w:lineRule="exact"/>
              <w:ind w:left="342" w:right="333"/>
              <w:jc w:val="center"/>
              <w:rPr>
                <w:rFonts w:ascii="宋体"/>
              </w:rPr>
            </w:pPr>
            <w:r>
              <w:rPr>
                <w:rFonts w:ascii="宋体"/>
              </w:rPr>
              <w:t>458066.746</w:t>
            </w:r>
          </w:p>
        </w:tc>
        <w:tc>
          <w:tcPr>
            <w:tcW w:w="845" w:type="dxa"/>
          </w:tcPr>
          <w:p w14:paraId="6175FD3A" w14:textId="77777777" w:rsidR="00977AB6" w:rsidRDefault="00507514">
            <w:pPr>
              <w:pStyle w:val="TableParagraph"/>
              <w:spacing w:before="1" w:line="251" w:lineRule="exact"/>
              <w:ind w:left="317"/>
              <w:rPr>
                <w:rFonts w:ascii="宋体"/>
              </w:rPr>
            </w:pPr>
            <w:r>
              <w:rPr>
                <w:rFonts w:ascii="宋体"/>
              </w:rPr>
              <w:t>J9</w:t>
            </w:r>
          </w:p>
        </w:tc>
        <w:tc>
          <w:tcPr>
            <w:tcW w:w="1521" w:type="dxa"/>
          </w:tcPr>
          <w:p w14:paraId="06808C57" w14:textId="77777777" w:rsidR="00977AB6" w:rsidRDefault="00507514">
            <w:pPr>
              <w:pStyle w:val="TableParagraph"/>
              <w:spacing w:before="1" w:line="251" w:lineRule="exact"/>
              <w:ind w:left="163" w:right="153"/>
              <w:jc w:val="center"/>
              <w:rPr>
                <w:rFonts w:ascii="宋体"/>
              </w:rPr>
            </w:pPr>
            <w:r>
              <w:rPr>
                <w:rFonts w:ascii="宋体"/>
              </w:rPr>
              <w:t>3219518.953</w:t>
            </w:r>
          </w:p>
        </w:tc>
        <w:tc>
          <w:tcPr>
            <w:tcW w:w="1776" w:type="dxa"/>
          </w:tcPr>
          <w:p w14:paraId="0C949929" w14:textId="77777777" w:rsidR="00977AB6" w:rsidRDefault="00507514">
            <w:pPr>
              <w:pStyle w:val="TableParagraph"/>
              <w:spacing w:before="1" w:line="251" w:lineRule="exact"/>
              <w:ind w:left="342" w:right="332"/>
              <w:jc w:val="center"/>
              <w:rPr>
                <w:rFonts w:ascii="宋体"/>
              </w:rPr>
            </w:pPr>
            <w:r>
              <w:rPr>
                <w:rFonts w:ascii="宋体"/>
              </w:rPr>
              <w:t>457890.090</w:t>
            </w:r>
          </w:p>
        </w:tc>
      </w:tr>
      <w:tr w:rsidR="00977AB6" w14:paraId="1AF37FCD" w14:textId="77777777">
        <w:trPr>
          <w:trHeight w:val="273"/>
        </w:trPr>
        <w:tc>
          <w:tcPr>
            <w:tcW w:w="971" w:type="dxa"/>
          </w:tcPr>
          <w:p w14:paraId="7976A940" w14:textId="77777777" w:rsidR="00977AB6" w:rsidRDefault="00507514">
            <w:pPr>
              <w:pStyle w:val="TableParagraph"/>
              <w:spacing w:before="2" w:line="251" w:lineRule="exact"/>
              <w:ind w:left="380"/>
              <w:rPr>
                <w:rFonts w:ascii="宋体"/>
              </w:rPr>
            </w:pPr>
            <w:r>
              <w:rPr>
                <w:rFonts w:ascii="宋体"/>
              </w:rPr>
              <w:t>J5</w:t>
            </w:r>
          </w:p>
        </w:tc>
        <w:tc>
          <w:tcPr>
            <w:tcW w:w="1545" w:type="dxa"/>
          </w:tcPr>
          <w:p w14:paraId="5847F136" w14:textId="77777777" w:rsidR="00977AB6" w:rsidRDefault="00507514">
            <w:pPr>
              <w:pStyle w:val="TableParagraph"/>
              <w:spacing w:before="2" w:line="251" w:lineRule="exact"/>
              <w:ind w:left="174" w:right="165"/>
              <w:jc w:val="center"/>
              <w:rPr>
                <w:rFonts w:ascii="宋体"/>
              </w:rPr>
            </w:pPr>
            <w:r>
              <w:rPr>
                <w:rFonts w:ascii="宋体"/>
              </w:rPr>
              <w:t>3219541.951</w:t>
            </w:r>
          </w:p>
        </w:tc>
        <w:tc>
          <w:tcPr>
            <w:tcW w:w="1776" w:type="dxa"/>
          </w:tcPr>
          <w:p w14:paraId="5AFD9349" w14:textId="77777777" w:rsidR="00977AB6" w:rsidRDefault="00507514">
            <w:pPr>
              <w:pStyle w:val="TableParagraph"/>
              <w:spacing w:before="2" w:line="251" w:lineRule="exact"/>
              <w:ind w:left="342" w:right="333"/>
              <w:jc w:val="center"/>
              <w:rPr>
                <w:rFonts w:ascii="宋体"/>
              </w:rPr>
            </w:pPr>
            <w:r>
              <w:rPr>
                <w:rFonts w:ascii="宋体"/>
              </w:rPr>
              <w:t>458015.958</w:t>
            </w:r>
          </w:p>
        </w:tc>
        <w:tc>
          <w:tcPr>
            <w:tcW w:w="845" w:type="dxa"/>
          </w:tcPr>
          <w:p w14:paraId="4D083C39" w14:textId="77777777" w:rsidR="00977AB6" w:rsidRDefault="00507514">
            <w:pPr>
              <w:pStyle w:val="TableParagraph"/>
              <w:spacing w:before="2" w:line="251" w:lineRule="exact"/>
              <w:ind w:left="264"/>
              <w:rPr>
                <w:rFonts w:ascii="宋体"/>
              </w:rPr>
            </w:pPr>
            <w:r>
              <w:rPr>
                <w:rFonts w:ascii="宋体"/>
              </w:rPr>
              <w:t>J10</w:t>
            </w:r>
          </w:p>
        </w:tc>
        <w:tc>
          <w:tcPr>
            <w:tcW w:w="1521" w:type="dxa"/>
          </w:tcPr>
          <w:p w14:paraId="4FFB3557" w14:textId="77777777" w:rsidR="00977AB6" w:rsidRDefault="00507514">
            <w:pPr>
              <w:pStyle w:val="TableParagraph"/>
              <w:spacing w:before="2" w:line="251" w:lineRule="exact"/>
              <w:ind w:left="163" w:right="153"/>
              <w:jc w:val="center"/>
              <w:rPr>
                <w:rFonts w:ascii="宋体"/>
              </w:rPr>
            </w:pPr>
            <w:r>
              <w:rPr>
                <w:rFonts w:ascii="宋体"/>
              </w:rPr>
              <w:t>3219576.141</w:t>
            </w:r>
          </w:p>
        </w:tc>
        <w:tc>
          <w:tcPr>
            <w:tcW w:w="1776" w:type="dxa"/>
          </w:tcPr>
          <w:p w14:paraId="733A3440" w14:textId="77777777" w:rsidR="00977AB6" w:rsidRDefault="00507514">
            <w:pPr>
              <w:pStyle w:val="TableParagraph"/>
              <w:spacing w:before="2" w:line="251" w:lineRule="exact"/>
              <w:ind w:left="342" w:right="332"/>
              <w:jc w:val="center"/>
              <w:rPr>
                <w:rFonts w:ascii="宋体"/>
              </w:rPr>
            </w:pPr>
            <w:r>
              <w:rPr>
                <w:rFonts w:ascii="宋体"/>
              </w:rPr>
              <w:t>457908.242</w:t>
            </w:r>
          </w:p>
        </w:tc>
      </w:tr>
    </w:tbl>
    <w:p w14:paraId="0A7A9B64" w14:textId="77777777" w:rsidR="00977AB6" w:rsidRDefault="00977AB6">
      <w:pPr>
        <w:pStyle w:val="a9"/>
        <w:spacing w:line="360" w:lineRule="exact"/>
        <w:ind w:rightChars="50" w:right="105" w:firstLineChars="200" w:firstLine="482"/>
        <w:rPr>
          <w:b/>
        </w:rPr>
      </w:pPr>
    </w:p>
    <w:p w14:paraId="1CA7FC7C" w14:textId="77777777" w:rsidR="00977AB6" w:rsidRDefault="00507514">
      <w:pPr>
        <w:tabs>
          <w:tab w:val="left" w:pos="2121"/>
        </w:tabs>
        <w:spacing w:before="61" w:after="3"/>
        <w:ind w:left="1260"/>
        <w:jc w:val="left"/>
        <w:rPr>
          <w:b/>
          <w:sz w:val="24"/>
        </w:rPr>
      </w:pPr>
      <w:r>
        <w:rPr>
          <w:b/>
          <w:sz w:val="24"/>
        </w:rPr>
        <w:t>表</w:t>
      </w:r>
      <w:r>
        <w:rPr>
          <w:b/>
          <w:sz w:val="24"/>
        </w:rPr>
        <w:t xml:space="preserve"> 1-2</w:t>
      </w:r>
      <w:r>
        <w:rPr>
          <w:b/>
          <w:sz w:val="24"/>
        </w:rPr>
        <w:tab/>
      </w:r>
      <w:r>
        <w:rPr>
          <w:b/>
          <w:sz w:val="24"/>
        </w:rPr>
        <w:t>地块开挖范围主要拐点坐标</w:t>
      </w:r>
      <w:r>
        <w:rPr>
          <w:sz w:val="24"/>
        </w:rPr>
        <w:t>（</w:t>
      </w:r>
      <w:r>
        <w:rPr>
          <w:sz w:val="24"/>
        </w:rPr>
        <w:t xml:space="preserve">2000 </w:t>
      </w:r>
      <w:r>
        <w:rPr>
          <w:sz w:val="24"/>
        </w:rPr>
        <w:t>国家大地坐标系）</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1"/>
        <w:gridCol w:w="1545"/>
        <w:gridCol w:w="1709"/>
        <w:gridCol w:w="845"/>
        <w:gridCol w:w="1660"/>
        <w:gridCol w:w="1688"/>
      </w:tblGrid>
      <w:tr w:rsidR="00977AB6" w14:paraId="66B5646D" w14:textId="77777777">
        <w:trPr>
          <w:trHeight w:val="777"/>
        </w:trPr>
        <w:tc>
          <w:tcPr>
            <w:tcW w:w="971" w:type="dxa"/>
          </w:tcPr>
          <w:p w14:paraId="738DDA84" w14:textId="77777777" w:rsidR="00977AB6" w:rsidRDefault="00507514">
            <w:pPr>
              <w:pStyle w:val="TableParagraph"/>
              <w:spacing w:before="79" w:line="242" w:lineRule="auto"/>
              <w:ind w:left="245" w:right="233"/>
              <w:rPr>
                <w:rFonts w:ascii="宋体" w:eastAsia="宋体"/>
                <w:sz w:val="24"/>
              </w:rPr>
            </w:pPr>
            <w:r>
              <w:rPr>
                <w:rFonts w:ascii="宋体" w:eastAsia="宋体" w:hint="eastAsia"/>
                <w:sz w:val="24"/>
              </w:rPr>
              <w:t>拐点编号</w:t>
            </w:r>
          </w:p>
        </w:tc>
        <w:tc>
          <w:tcPr>
            <w:tcW w:w="1545" w:type="dxa"/>
          </w:tcPr>
          <w:p w14:paraId="2404E002" w14:textId="77777777" w:rsidR="00977AB6" w:rsidRDefault="00507514">
            <w:pPr>
              <w:pStyle w:val="TableParagraph"/>
              <w:spacing w:before="181"/>
              <w:ind w:left="9"/>
              <w:jc w:val="center"/>
              <w:rPr>
                <w:sz w:val="24"/>
              </w:rPr>
            </w:pPr>
            <w:r>
              <w:rPr>
                <w:sz w:val="24"/>
              </w:rPr>
              <w:t>X</w:t>
            </w:r>
          </w:p>
        </w:tc>
        <w:tc>
          <w:tcPr>
            <w:tcW w:w="1709" w:type="dxa"/>
          </w:tcPr>
          <w:p w14:paraId="6A126F7C" w14:textId="77777777" w:rsidR="00977AB6" w:rsidRDefault="00507514">
            <w:pPr>
              <w:pStyle w:val="TableParagraph"/>
              <w:spacing w:before="181"/>
              <w:ind w:left="9"/>
              <w:jc w:val="center"/>
              <w:rPr>
                <w:sz w:val="24"/>
              </w:rPr>
            </w:pPr>
            <w:r>
              <w:rPr>
                <w:sz w:val="24"/>
              </w:rPr>
              <w:t>Y</w:t>
            </w:r>
          </w:p>
        </w:tc>
        <w:tc>
          <w:tcPr>
            <w:tcW w:w="845" w:type="dxa"/>
          </w:tcPr>
          <w:p w14:paraId="604BE22E" w14:textId="77777777" w:rsidR="00977AB6" w:rsidRDefault="00507514">
            <w:pPr>
              <w:pStyle w:val="TableParagraph"/>
              <w:spacing w:before="2" w:line="242" w:lineRule="auto"/>
              <w:ind w:left="181" w:right="171"/>
              <w:rPr>
                <w:rFonts w:ascii="宋体" w:eastAsia="宋体"/>
                <w:sz w:val="24"/>
              </w:rPr>
            </w:pPr>
            <w:r>
              <w:rPr>
                <w:rFonts w:ascii="宋体" w:eastAsia="宋体" w:hint="eastAsia"/>
                <w:sz w:val="24"/>
              </w:rPr>
              <w:t>拐点编号</w:t>
            </w:r>
          </w:p>
        </w:tc>
        <w:tc>
          <w:tcPr>
            <w:tcW w:w="1660" w:type="dxa"/>
          </w:tcPr>
          <w:p w14:paraId="5A30DB65" w14:textId="77777777" w:rsidR="00977AB6" w:rsidRDefault="00507514">
            <w:pPr>
              <w:pStyle w:val="TableParagraph"/>
              <w:spacing w:before="181"/>
              <w:ind w:left="10"/>
              <w:jc w:val="center"/>
              <w:rPr>
                <w:sz w:val="24"/>
              </w:rPr>
            </w:pPr>
            <w:r>
              <w:rPr>
                <w:sz w:val="24"/>
              </w:rPr>
              <w:t>X</w:t>
            </w:r>
          </w:p>
        </w:tc>
        <w:tc>
          <w:tcPr>
            <w:tcW w:w="1688" w:type="dxa"/>
          </w:tcPr>
          <w:p w14:paraId="1F5DA5FC" w14:textId="77777777" w:rsidR="00977AB6" w:rsidRDefault="00507514">
            <w:pPr>
              <w:pStyle w:val="TableParagraph"/>
              <w:spacing w:before="181"/>
              <w:ind w:left="7"/>
              <w:jc w:val="center"/>
              <w:rPr>
                <w:sz w:val="24"/>
              </w:rPr>
            </w:pPr>
            <w:r>
              <w:rPr>
                <w:sz w:val="24"/>
              </w:rPr>
              <w:t>Y</w:t>
            </w:r>
          </w:p>
        </w:tc>
      </w:tr>
      <w:tr w:rsidR="00977AB6" w14:paraId="16418D7C" w14:textId="77777777">
        <w:trPr>
          <w:trHeight w:val="242"/>
        </w:trPr>
        <w:tc>
          <w:tcPr>
            <w:tcW w:w="971" w:type="dxa"/>
          </w:tcPr>
          <w:p w14:paraId="57DA860F" w14:textId="77777777" w:rsidR="00977AB6" w:rsidRDefault="00507514">
            <w:pPr>
              <w:pStyle w:val="TableParagraph"/>
              <w:spacing w:line="222" w:lineRule="exact"/>
              <w:ind w:left="371" w:right="363"/>
              <w:jc w:val="center"/>
            </w:pPr>
            <w:r>
              <w:t>J1</w:t>
            </w:r>
          </w:p>
        </w:tc>
        <w:tc>
          <w:tcPr>
            <w:tcW w:w="1545" w:type="dxa"/>
          </w:tcPr>
          <w:p w14:paraId="7555CCD4" w14:textId="77777777" w:rsidR="00977AB6" w:rsidRDefault="00507514">
            <w:pPr>
              <w:pStyle w:val="TableParagraph"/>
              <w:spacing w:line="222" w:lineRule="exact"/>
              <w:ind w:left="172" w:right="165"/>
              <w:jc w:val="center"/>
            </w:pPr>
            <w:r>
              <w:t>3219741.315</w:t>
            </w:r>
          </w:p>
        </w:tc>
        <w:tc>
          <w:tcPr>
            <w:tcW w:w="1709" w:type="dxa"/>
          </w:tcPr>
          <w:p w14:paraId="779FE9FB" w14:textId="77777777" w:rsidR="00977AB6" w:rsidRDefault="00507514">
            <w:pPr>
              <w:pStyle w:val="TableParagraph"/>
              <w:spacing w:line="222" w:lineRule="exact"/>
              <w:ind w:left="334" w:right="326"/>
              <w:jc w:val="center"/>
            </w:pPr>
            <w:r>
              <w:t>457964.576</w:t>
            </w:r>
          </w:p>
        </w:tc>
        <w:tc>
          <w:tcPr>
            <w:tcW w:w="845" w:type="dxa"/>
          </w:tcPr>
          <w:p w14:paraId="4CE043E2" w14:textId="77777777" w:rsidR="00977AB6" w:rsidRDefault="00507514">
            <w:pPr>
              <w:pStyle w:val="TableParagraph"/>
              <w:spacing w:line="222" w:lineRule="exact"/>
              <w:ind w:left="328"/>
            </w:pPr>
            <w:r>
              <w:t>J8</w:t>
            </w:r>
          </w:p>
        </w:tc>
        <w:tc>
          <w:tcPr>
            <w:tcW w:w="1660" w:type="dxa"/>
          </w:tcPr>
          <w:p w14:paraId="52991F20" w14:textId="77777777" w:rsidR="00977AB6" w:rsidRDefault="00507514">
            <w:pPr>
              <w:pStyle w:val="TableParagraph"/>
              <w:spacing w:line="222" w:lineRule="exact"/>
              <w:ind w:left="257" w:right="249"/>
              <w:jc w:val="center"/>
            </w:pPr>
            <w:r>
              <w:t>3219501.572</w:t>
            </w:r>
          </w:p>
        </w:tc>
        <w:tc>
          <w:tcPr>
            <w:tcW w:w="1688" w:type="dxa"/>
          </w:tcPr>
          <w:p w14:paraId="574BE94A" w14:textId="77777777" w:rsidR="00977AB6" w:rsidRDefault="00507514">
            <w:pPr>
              <w:pStyle w:val="TableParagraph"/>
              <w:spacing w:line="222" w:lineRule="exact"/>
              <w:ind w:left="325" w:right="315"/>
              <w:jc w:val="center"/>
            </w:pPr>
            <w:r>
              <w:t>457923.364</w:t>
            </w:r>
          </w:p>
        </w:tc>
      </w:tr>
      <w:tr w:rsidR="00977AB6" w14:paraId="2DEA1669" w14:textId="77777777">
        <w:trPr>
          <w:trHeight w:val="272"/>
        </w:trPr>
        <w:tc>
          <w:tcPr>
            <w:tcW w:w="971" w:type="dxa"/>
          </w:tcPr>
          <w:p w14:paraId="6BDD7A1A" w14:textId="77777777" w:rsidR="00977AB6" w:rsidRDefault="00507514">
            <w:pPr>
              <w:pStyle w:val="TableParagraph"/>
              <w:spacing w:before="14" w:line="239" w:lineRule="exact"/>
              <w:ind w:left="371" w:right="363"/>
              <w:jc w:val="center"/>
            </w:pPr>
            <w:r>
              <w:t>J2</w:t>
            </w:r>
          </w:p>
        </w:tc>
        <w:tc>
          <w:tcPr>
            <w:tcW w:w="1545" w:type="dxa"/>
          </w:tcPr>
          <w:p w14:paraId="2AA23028" w14:textId="77777777" w:rsidR="00977AB6" w:rsidRDefault="00507514">
            <w:pPr>
              <w:pStyle w:val="TableParagraph"/>
              <w:spacing w:before="14" w:line="239" w:lineRule="exact"/>
              <w:ind w:left="172" w:right="165"/>
              <w:jc w:val="center"/>
            </w:pPr>
            <w:r>
              <w:t>3219713.441</w:t>
            </w:r>
          </w:p>
        </w:tc>
        <w:tc>
          <w:tcPr>
            <w:tcW w:w="1709" w:type="dxa"/>
          </w:tcPr>
          <w:p w14:paraId="2B1E39FC" w14:textId="77777777" w:rsidR="00977AB6" w:rsidRDefault="00507514">
            <w:pPr>
              <w:pStyle w:val="TableParagraph"/>
              <w:spacing w:before="14" w:line="239" w:lineRule="exact"/>
              <w:ind w:left="334" w:right="326"/>
              <w:jc w:val="center"/>
            </w:pPr>
            <w:r>
              <w:t>458052.000</w:t>
            </w:r>
          </w:p>
        </w:tc>
        <w:tc>
          <w:tcPr>
            <w:tcW w:w="845" w:type="dxa"/>
          </w:tcPr>
          <w:p w14:paraId="41A34F04" w14:textId="77777777" w:rsidR="00977AB6" w:rsidRDefault="00507514">
            <w:pPr>
              <w:pStyle w:val="TableParagraph"/>
              <w:spacing w:before="14" w:line="239" w:lineRule="exact"/>
              <w:ind w:left="328"/>
            </w:pPr>
            <w:r>
              <w:t>J9</w:t>
            </w:r>
          </w:p>
        </w:tc>
        <w:tc>
          <w:tcPr>
            <w:tcW w:w="1660" w:type="dxa"/>
          </w:tcPr>
          <w:p w14:paraId="311B1775" w14:textId="77777777" w:rsidR="00977AB6" w:rsidRDefault="00507514">
            <w:pPr>
              <w:pStyle w:val="TableParagraph"/>
              <w:spacing w:before="14" w:line="239" w:lineRule="exact"/>
              <w:ind w:left="257" w:right="249"/>
              <w:jc w:val="center"/>
            </w:pPr>
            <w:r>
              <w:t>3219507.957</w:t>
            </w:r>
          </w:p>
        </w:tc>
        <w:tc>
          <w:tcPr>
            <w:tcW w:w="1688" w:type="dxa"/>
          </w:tcPr>
          <w:p w14:paraId="775FB685" w14:textId="77777777" w:rsidR="00977AB6" w:rsidRDefault="00507514">
            <w:pPr>
              <w:pStyle w:val="TableParagraph"/>
              <w:spacing w:before="14" w:line="239" w:lineRule="exact"/>
              <w:ind w:left="325" w:right="315"/>
              <w:jc w:val="center"/>
            </w:pPr>
            <w:r>
              <w:t>457903.087</w:t>
            </w:r>
          </w:p>
        </w:tc>
      </w:tr>
      <w:tr w:rsidR="00977AB6" w14:paraId="19F684FD" w14:textId="77777777">
        <w:trPr>
          <w:trHeight w:val="241"/>
        </w:trPr>
        <w:tc>
          <w:tcPr>
            <w:tcW w:w="971" w:type="dxa"/>
          </w:tcPr>
          <w:p w14:paraId="086A8AFF" w14:textId="77777777" w:rsidR="00977AB6" w:rsidRDefault="00507514">
            <w:pPr>
              <w:pStyle w:val="TableParagraph"/>
              <w:spacing w:line="221" w:lineRule="exact"/>
              <w:ind w:left="371" w:right="363"/>
              <w:jc w:val="center"/>
            </w:pPr>
            <w:r>
              <w:t>J3</w:t>
            </w:r>
          </w:p>
        </w:tc>
        <w:tc>
          <w:tcPr>
            <w:tcW w:w="1545" w:type="dxa"/>
          </w:tcPr>
          <w:p w14:paraId="7A630BBC" w14:textId="77777777" w:rsidR="00977AB6" w:rsidRDefault="00507514">
            <w:pPr>
              <w:pStyle w:val="TableParagraph"/>
              <w:spacing w:line="221" w:lineRule="exact"/>
              <w:ind w:left="172" w:right="165"/>
              <w:jc w:val="center"/>
            </w:pPr>
            <w:r>
              <w:t>3219695.392</w:t>
            </w:r>
          </w:p>
        </w:tc>
        <w:tc>
          <w:tcPr>
            <w:tcW w:w="1709" w:type="dxa"/>
          </w:tcPr>
          <w:p w14:paraId="44C626DB" w14:textId="77777777" w:rsidR="00977AB6" w:rsidRDefault="00507514">
            <w:pPr>
              <w:pStyle w:val="TableParagraph"/>
              <w:spacing w:line="221" w:lineRule="exact"/>
              <w:ind w:left="334" w:right="326"/>
              <w:jc w:val="center"/>
            </w:pPr>
            <w:r>
              <w:t>458061.001</w:t>
            </w:r>
          </w:p>
        </w:tc>
        <w:tc>
          <w:tcPr>
            <w:tcW w:w="845" w:type="dxa"/>
          </w:tcPr>
          <w:p w14:paraId="00CD6745" w14:textId="77777777" w:rsidR="00977AB6" w:rsidRDefault="00507514">
            <w:pPr>
              <w:pStyle w:val="TableParagraph"/>
              <w:spacing w:line="221" w:lineRule="exact"/>
              <w:ind w:left="275"/>
            </w:pPr>
            <w:r>
              <w:t>J10</w:t>
            </w:r>
          </w:p>
        </w:tc>
        <w:tc>
          <w:tcPr>
            <w:tcW w:w="1660" w:type="dxa"/>
          </w:tcPr>
          <w:p w14:paraId="62FF6F06" w14:textId="77777777" w:rsidR="00977AB6" w:rsidRDefault="00507514">
            <w:pPr>
              <w:pStyle w:val="TableParagraph"/>
              <w:spacing w:line="221" w:lineRule="exact"/>
              <w:ind w:left="257" w:right="249"/>
              <w:jc w:val="center"/>
            </w:pPr>
            <w:r>
              <w:t>3219516.343</w:t>
            </w:r>
          </w:p>
        </w:tc>
        <w:tc>
          <w:tcPr>
            <w:tcW w:w="1688" w:type="dxa"/>
          </w:tcPr>
          <w:p w14:paraId="7C53126B" w14:textId="77777777" w:rsidR="00977AB6" w:rsidRDefault="00507514">
            <w:pPr>
              <w:pStyle w:val="TableParagraph"/>
              <w:spacing w:line="221" w:lineRule="exact"/>
              <w:ind w:left="325" w:right="315"/>
              <w:jc w:val="center"/>
            </w:pPr>
            <w:r>
              <w:t>457895.277</w:t>
            </w:r>
          </w:p>
        </w:tc>
      </w:tr>
      <w:tr w:rsidR="00977AB6" w14:paraId="029EDD94" w14:textId="77777777">
        <w:trPr>
          <w:trHeight w:val="242"/>
        </w:trPr>
        <w:tc>
          <w:tcPr>
            <w:tcW w:w="971" w:type="dxa"/>
          </w:tcPr>
          <w:p w14:paraId="2158A9F7" w14:textId="77777777" w:rsidR="00977AB6" w:rsidRDefault="00507514">
            <w:pPr>
              <w:pStyle w:val="TableParagraph"/>
              <w:spacing w:before="1" w:line="221" w:lineRule="exact"/>
              <w:ind w:left="371" w:right="363"/>
              <w:jc w:val="center"/>
            </w:pPr>
            <w:r>
              <w:t>J4</w:t>
            </w:r>
          </w:p>
        </w:tc>
        <w:tc>
          <w:tcPr>
            <w:tcW w:w="1545" w:type="dxa"/>
          </w:tcPr>
          <w:p w14:paraId="617D2A37" w14:textId="77777777" w:rsidR="00977AB6" w:rsidRDefault="00507514">
            <w:pPr>
              <w:pStyle w:val="TableParagraph"/>
              <w:spacing w:before="1" w:line="221" w:lineRule="exact"/>
              <w:ind w:left="172" w:right="165"/>
              <w:jc w:val="center"/>
            </w:pPr>
            <w:r>
              <w:t>3219636.276</w:t>
            </w:r>
          </w:p>
        </w:tc>
        <w:tc>
          <w:tcPr>
            <w:tcW w:w="1709" w:type="dxa"/>
          </w:tcPr>
          <w:p w14:paraId="19C976BF" w14:textId="77777777" w:rsidR="00977AB6" w:rsidRDefault="00507514">
            <w:pPr>
              <w:pStyle w:val="TableParagraph"/>
              <w:spacing w:before="1" w:line="221" w:lineRule="exact"/>
              <w:ind w:left="334" w:right="326"/>
              <w:jc w:val="center"/>
            </w:pPr>
            <w:r>
              <w:t>458042.237</w:t>
            </w:r>
          </w:p>
        </w:tc>
        <w:tc>
          <w:tcPr>
            <w:tcW w:w="845" w:type="dxa"/>
          </w:tcPr>
          <w:p w14:paraId="60DD2D0A" w14:textId="77777777" w:rsidR="00977AB6" w:rsidRDefault="00507514">
            <w:pPr>
              <w:pStyle w:val="TableParagraph"/>
              <w:spacing w:before="1" w:line="221" w:lineRule="exact"/>
              <w:ind w:left="280"/>
            </w:pPr>
            <w:r>
              <w:t>J11</w:t>
            </w:r>
          </w:p>
        </w:tc>
        <w:tc>
          <w:tcPr>
            <w:tcW w:w="1660" w:type="dxa"/>
          </w:tcPr>
          <w:p w14:paraId="2015C68E" w14:textId="77777777" w:rsidR="00977AB6" w:rsidRDefault="00507514">
            <w:pPr>
              <w:pStyle w:val="TableParagraph"/>
              <w:spacing w:before="1" w:line="221" w:lineRule="exact"/>
              <w:ind w:left="257" w:right="249"/>
              <w:jc w:val="center"/>
            </w:pPr>
            <w:r>
              <w:t>3219529.606</w:t>
            </w:r>
          </w:p>
        </w:tc>
        <w:tc>
          <w:tcPr>
            <w:tcW w:w="1688" w:type="dxa"/>
          </w:tcPr>
          <w:p w14:paraId="7E6EFAF7" w14:textId="77777777" w:rsidR="00977AB6" w:rsidRDefault="00507514">
            <w:pPr>
              <w:pStyle w:val="TableParagraph"/>
              <w:spacing w:before="1" w:line="221" w:lineRule="exact"/>
              <w:ind w:left="325" w:right="315"/>
              <w:jc w:val="center"/>
            </w:pPr>
            <w:r>
              <w:t>457897.374</w:t>
            </w:r>
          </w:p>
        </w:tc>
      </w:tr>
      <w:tr w:rsidR="00977AB6" w14:paraId="29B2679B" w14:textId="77777777">
        <w:trPr>
          <w:trHeight w:val="282"/>
        </w:trPr>
        <w:tc>
          <w:tcPr>
            <w:tcW w:w="971" w:type="dxa"/>
          </w:tcPr>
          <w:p w14:paraId="23A73662" w14:textId="77777777" w:rsidR="00977AB6" w:rsidRDefault="00507514">
            <w:pPr>
              <w:pStyle w:val="TableParagraph"/>
              <w:spacing w:before="18"/>
              <w:ind w:left="371" w:right="363"/>
              <w:jc w:val="center"/>
            </w:pPr>
            <w:r>
              <w:t>J5</w:t>
            </w:r>
          </w:p>
        </w:tc>
        <w:tc>
          <w:tcPr>
            <w:tcW w:w="1545" w:type="dxa"/>
          </w:tcPr>
          <w:p w14:paraId="60DE093F" w14:textId="77777777" w:rsidR="00977AB6" w:rsidRDefault="00507514">
            <w:pPr>
              <w:pStyle w:val="TableParagraph"/>
              <w:spacing w:before="18"/>
              <w:ind w:left="172" w:right="165"/>
              <w:jc w:val="center"/>
            </w:pPr>
            <w:r>
              <w:t>3219492.729</w:t>
            </w:r>
          </w:p>
        </w:tc>
        <w:tc>
          <w:tcPr>
            <w:tcW w:w="1709" w:type="dxa"/>
          </w:tcPr>
          <w:p w14:paraId="411596D8" w14:textId="77777777" w:rsidR="00977AB6" w:rsidRDefault="00507514">
            <w:pPr>
              <w:pStyle w:val="TableParagraph"/>
              <w:spacing w:before="18"/>
              <w:ind w:left="334" w:right="326"/>
              <w:jc w:val="center"/>
            </w:pPr>
            <w:r>
              <w:t>457996.674</w:t>
            </w:r>
          </w:p>
        </w:tc>
        <w:tc>
          <w:tcPr>
            <w:tcW w:w="845" w:type="dxa"/>
          </w:tcPr>
          <w:p w14:paraId="7448B7F4" w14:textId="77777777" w:rsidR="00977AB6" w:rsidRDefault="00507514">
            <w:pPr>
              <w:pStyle w:val="TableParagraph"/>
              <w:spacing w:before="18"/>
              <w:ind w:left="275"/>
            </w:pPr>
            <w:r>
              <w:t>J12</w:t>
            </w:r>
          </w:p>
        </w:tc>
        <w:tc>
          <w:tcPr>
            <w:tcW w:w="1660" w:type="dxa"/>
          </w:tcPr>
          <w:p w14:paraId="24C60387" w14:textId="77777777" w:rsidR="00977AB6" w:rsidRDefault="00507514">
            <w:pPr>
              <w:pStyle w:val="TableParagraph"/>
              <w:spacing w:before="18"/>
              <w:ind w:left="257" w:right="249"/>
              <w:jc w:val="center"/>
            </w:pPr>
            <w:r>
              <w:t>3219668.284</w:t>
            </w:r>
          </w:p>
        </w:tc>
        <w:tc>
          <w:tcPr>
            <w:tcW w:w="1688" w:type="dxa"/>
          </w:tcPr>
          <w:p w14:paraId="5B821D7F" w14:textId="77777777" w:rsidR="00977AB6" w:rsidRDefault="00507514">
            <w:pPr>
              <w:pStyle w:val="TableParagraph"/>
              <w:spacing w:before="18"/>
              <w:ind w:left="325" w:right="315"/>
              <w:jc w:val="center"/>
            </w:pPr>
            <w:r>
              <w:t>457941.395</w:t>
            </w:r>
          </w:p>
        </w:tc>
      </w:tr>
      <w:tr w:rsidR="00977AB6" w14:paraId="29D4B460" w14:textId="77777777">
        <w:trPr>
          <w:trHeight w:val="282"/>
        </w:trPr>
        <w:tc>
          <w:tcPr>
            <w:tcW w:w="971" w:type="dxa"/>
          </w:tcPr>
          <w:p w14:paraId="3C3D7050" w14:textId="77777777" w:rsidR="00977AB6" w:rsidRDefault="00507514">
            <w:pPr>
              <w:pStyle w:val="TableParagraph"/>
              <w:spacing w:before="20"/>
              <w:ind w:left="371" w:right="363"/>
              <w:jc w:val="center"/>
            </w:pPr>
            <w:r>
              <w:t>J6</w:t>
            </w:r>
          </w:p>
        </w:tc>
        <w:tc>
          <w:tcPr>
            <w:tcW w:w="1545" w:type="dxa"/>
          </w:tcPr>
          <w:p w14:paraId="1C0A8016" w14:textId="77777777" w:rsidR="00977AB6" w:rsidRDefault="00507514">
            <w:pPr>
              <w:pStyle w:val="TableParagraph"/>
              <w:spacing w:before="20"/>
              <w:ind w:left="172" w:right="165"/>
              <w:jc w:val="center"/>
            </w:pPr>
            <w:r>
              <w:t>3219488.527</w:t>
            </w:r>
          </w:p>
        </w:tc>
        <w:tc>
          <w:tcPr>
            <w:tcW w:w="1709" w:type="dxa"/>
          </w:tcPr>
          <w:p w14:paraId="59E0895B" w14:textId="77777777" w:rsidR="00977AB6" w:rsidRDefault="00507514">
            <w:pPr>
              <w:pStyle w:val="TableParagraph"/>
              <w:spacing w:before="20"/>
              <w:ind w:left="334" w:right="326"/>
              <w:jc w:val="center"/>
            </w:pPr>
            <w:r>
              <w:t>457989.046</w:t>
            </w:r>
          </w:p>
        </w:tc>
        <w:tc>
          <w:tcPr>
            <w:tcW w:w="845" w:type="dxa"/>
          </w:tcPr>
          <w:p w14:paraId="16025F33" w14:textId="77777777" w:rsidR="00977AB6" w:rsidRDefault="00507514">
            <w:pPr>
              <w:pStyle w:val="TableParagraph"/>
              <w:spacing w:before="20"/>
              <w:ind w:left="275"/>
            </w:pPr>
            <w:r>
              <w:t>J13</w:t>
            </w:r>
          </w:p>
        </w:tc>
        <w:tc>
          <w:tcPr>
            <w:tcW w:w="1660" w:type="dxa"/>
          </w:tcPr>
          <w:p w14:paraId="740AD3A8" w14:textId="77777777" w:rsidR="00977AB6" w:rsidRDefault="00507514">
            <w:pPr>
              <w:pStyle w:val="TableParagraph"/>
              <w:spacing w:before="20"/>
              <w:ind w:left="257" w:right="249"/>
              <w:jc w:val="center"/>
            </w:pPr>
            <w:r>
              <w:t>3219741.315</w:t>
            </w:r>
          </w:p>
        </w:tc>
        <w:tc>
          <w:tcPr>
            <w:tcW w:w="1688" w:type="dxa"/>
          </w:tcPr>
          <w:p w14:paraId="5E66D3B5" w14:textId="77777777" w:rsidR="00977AB6" w:rsidRDefault="00507514">
            <w:pPr>
              <w:pStyle w:val="TableParagraph"/>
              <w:spacing w:before="20"/>
              <w:ind w:left="325" w:right="315"/>
              <w:jc w:val="center"/>
            </w:pPr>
            <w:r>
              <w:t>457964.577</w:t>
            </w:r>
          </w:p>
        </w:tc>
      </w:tr>
      <w:tr w:rsidR="00977AB6" w14:paraId="721A9592" w14:textId="77777777">
        <w:trPr>
          <w:trHeight w:val="283"/>
        </w:trPr>
        <w:tc>
          <w:tcPr>
            <w:tcW w:w="971" w:type="dxa"/>
          </w:tcPr>
          <w:p w14:paraId="601896BF" w14:textId="77777777" w:rsidR="00977AB6" w:rsidRDefault="00507514">
            <w:pPr>
              <w:pStyle w:val="TableParagraph"/>
              <w:spacing w:before="20"/>
              <w:ind w:left="371" w:right="363"/>
              <w:jc w:val="center"/>
            </w:pPr>
            <w:r>
              <w:t>J7</w:t>
            </w:r>
          </w:p>
        </w:tc>
        <w:tc>
          <w:tcPr>
            <w:tcW w:w="1545" w:type="dxa"/>
          </w:tcPr>
          <w:p w14:paraId="2A5C0F5B" w14:textId="77777777" w:rsidR="00977AB6" w:rsidRDefault="00507514">
            <w:pPr>
              <w:pStyle w:val="TableParagraph"/>
              <w:spacing w:before="20"/>
              <w:ind w:left="172" w:right="165"/>
              <w:jc w:val="center"/>
            </w:pPr>
            <w:r>
              <w:t>3219508.694</w:t>
            </w:r>
          </w:p>
        </w:tc>
        <w:tc>
          <w:tcPr>
            <w:tcW w:w="1709" w:type="dxa"/>
          </w:tcPr>
          <w:p w14:paraId="28C5D41A" w14:textId="77777777" w:rsidR="00977AB6" w:rsidRDefault="00507514">
            <w:pPr>
              <w:pStyle w:val="TableParagraph"/>
              <w:spacing w:before="20"/>
              <w:ind w:left="334" w:right="326"/>
              <w:jc w:val="center"/>
            </w:pPr>
            <w:r>
              <w:t>457925.507</w:t>
            </w:r>
          </w:p>
        </w:tc>
        <w:tc>
          <w:tcPr>
            <w:tcW w:w="845" w:type="dxa"/>
          </w:tcPr>
          <w:p w14:paraId="4866AC35" w14:textId="77777777" w:rsidR="00977AB6" w:rsidRDefault="00977AB6">
            <w:pPr>
              <w:pStyle w:val="TableParagraph"/>
              <w:rPr>
                <w:sz w:val="20"/>
              </w:rPr>
            </w:pPr>
          </w:p>
        </w:tc>
        <w:tc>
          <w:tcPr>
            <w:tcW w:w="1660" w:type="dxa"/>
          </w:tcPr>
          <w:p w14:paraId="25E94107" w14:textId="77777777" w:rsidR="00977AB6" w:rsidRDefault="00977AB6">
            <w:pPr>
              <w:pStyle w:val="TableParagraph"/>
              <w:rPr>
                <w:sz w:val="20"/>
              </w:rPr>
            </w:pPr>
          </w:p>
        </w:tc>
        <w:tc>
          <w:tcPr>
            <w:tcW w:w="1688" w:type="dxa"/>
          </w:tcPr>
          <w:p w14:paraId="00705FDF" w14:textId="77777777" w:rsidR="00977AB6" w:rsidRDefault="00977AB6">
            <w:pPr>
              <w:pStyle w:val="TableParagraph"/>
              <w:rPr>
                <w:sz w:val="20"/>
              </w:rPr>
            </w:pPr>
          </w:p>
        </w:tc>
      </w:tr>
    </w:tbl>
    <w:p w14:paraId="00E8FEA6" w14:textId="77777777" w:rsidR="00977AB6" w:rsidRDefault="00977AB6">
      <w:pPr>
        <w:pStyle w:val="a9"/>
        <w:spacing w:line="360" w:lineRule="exact"/>
        <w:ind w:rightChars="50" w:right="105"/>
        <w:rPr>
          <w:sz w:val="21"/>
        </w:rPr>
      </w:pPr>
    </w:p>
    <w:p w14:paraId="057DE80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二、拍卖公告</w:t>
      </w:r>
    </w:p>
    <w:p w14:paraId="4A3AC6C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1.本次拍卖，拍卖人在金华市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城区公共资源交易网</w:t>
      </w:r>
      <w:r>
        <w:rPr>
          <w:rFonts w:asciiTheme="majorEastAsia" w:eastAsiaTheme="majorEastAsia" w:hAnsiTheme="majorEastAsia" w:cs="Arial"/>
          <w:color w:val="000000" w:themeColor="text1"/>
        </w:rPr>
        <w:t>发布了《拍卖公告》(附拍卖公告)，并展示了拍卖标的。</w:t>
      </w:r>
    </w:p>
    <w:p w14:paraId="4BE7D5A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2.拍卖人：金华市正得拍卖有限公司</w:t>
      </w:r>
    </w:p>
    <w:p w14:paraId="17FB5137" w14:textId="3BA97C80"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3.拍卖时间：202</w:t>
      </w:r>
      <w:r>
        <w:rPr>
          <w:rStyle w:val="aa"/>
          <w:rFonts w:asciiTheme="majorEastAsia" w:eastAsiaTheme="majorEastAsia" w:hAnsiTheme="majorEastAsia" w:cs="Arial" w:hint="eastAsia"/>
          <w:b w:val="0"/>
          <w:color w:val="000000" w:themeColor="text1"/>
        </w:rPr>
        <w:t>2</w:t>
      </w:r>
      <w:r>
        <w:rPr>
          <w:rStyle w:val="aa"/>
          <w:rFonts w:asciiTheme="majorEastAsia" w:eastAsiaTheme="majorEastAsia" w:hAnsiTheme="majorEastAsia" w:cs="Arial"/>
          <w:b w:val="0"/>
          <w:color w:val="000000" w:themeColor="text1"/>
        </w:rPr>
        <w:t xml:space="preserve">年 </w:t>
      </w:r>
      <w:r w:rsidR="008936FD">
        <w:rPr>
          <w:rStyle w:val="aa"/>
          <w:rFonts w:asciiTheme="majorEastAsia" w:eastAsiaTheme="majorEastAsia" w:hAnsiTheme="majorEastAsia" w:cs="Arial"/>
          <w:b w:val="0"/>
          <w:color w:val="000000" w:themeColor="text1"/>
        </w:rPr>
        <w:t>8</w:t>
      </w:r>
      <w:r>
        <w:rPr>
          <w:rStyle w:val="aa"/>
          <w:rFonts w:asciiTheme="majorEastAsia" w:eastAsiaTheme="majorEastAsia" w:hAnsiTheme="majorEastAsia" w:cs="Arial" w:hint="eastAsia"/>
          <w:b w:val="0"/>
          <w:color w:val="000000" w:themeColor="text1"/>
        </w:rPr>
        <w:t xml:space="preserve"> </w:t>
      </w:r>
      <w:r>
        <w:rPr>
          <w:rStyle w:val="aa"/>
          <w:rFonts w:asciiTheme="majorEastAsia" w:eastAsiaTheme="majorEastAsia" w:hAnsiTheme="majorEastAsia" w:cs="Arial"/>
          <w:b w:val="0"/>
          <w:color w:val="000000" w:themeColor="text1"/>
        </w:rPr>
        <w:t>月</w:t>
      </w:r>
      <w:r>
        <w:rPr>
          <w:rStyle w:val="aa"/>
          <w:rFonts w:asciiTheme="majorEastAsia" w:eastAsiaTheme="majorEastAsia" w:hAnsiTheme="majorEastAsia" w:cs="Arial" w:hint="eastAsia"/>
          <w:b w:val="0"/>
          <w:color w:val="000000" w:themeColor="text1"/>
        </w:rPr>
        <w:t xml:space="preserve"> </w:t>
      </w:r>
      <w:r w:rsidR="008936FD">
        <w:rPr>
          <w:rStyle w:val="aa"/>
          <w:rFonts w:asciiTheme="majorEastAsia" w:eastAsiaTheme="majorEastAsia" w:hAnsiTheme="majorEastAsia" w:cs="Arial"/>
          <w:b w:val="0"/>
          <w:color w:val="000000" w:themeColor="text1"/>
        </w:rPr>
        <w:t>18</w:t>
      </w:r>
      <w:r>
        <w:rPr>
          <w:rStyle w:val="aa"/>
          <w:rFonts w:asciiTheme="majorEastAsia" w:eastAsiaTheme="majorEastAsia" w:hAnsiTheme="majorEastAsia" w:cs="Arial" w:hint="eastAsia"/>
          <w:b w:val="0"/>
          <w:color w:val="000000" w:themeColor="text1"/>
        </w:rPr>
        <w:t xml:space="preserve"> </w:t>
      </w:r>
      <w:r>
        <w:rPr>
          <w:rStyle w:val="aa"/>
          <w:rFonts w:asciiTheme="majorEastAsia" w:eastAsiaTheme="majorEastAsia" w:hAnsiTheme="majorEastAsia" w:cs="Arial"/>
          <w:b w:val="0"/>
          <w:color w:val="000000" w:themeColor="text1"/>
        </w:rPr>
        <w:t>日</w:t>
      </w:r>
      <w:r>
        <w:rPr>
          <w:rStyle w:val="aa"/>
          <w:rFonts w:asciiTheme="majorEastAsia" w:eastAsiaTheme="majorEastAsia" w:hAnsiTheme="majorEastAsia" w:cs="Arial" w:hint="eastAsia"/>
          <w:b w:val="0"/>
          <w:color w:val="000000" w:themeColor="text1"/>
        </w:rPr>
        <w:t xml:space="preserve"> </w:t>
      </w:r>
      <w:r>
        <w:rPr>
          <w:rStyle w:val="aa"/>
          <w:rFonts w:asciiTheme="majorEastAsia" w:eastAsiaTheme="majorEastAsia" w:hAnsiTheme="majorEastAsia" w:cs="Arial"/>
          <w:b w:val="0"/>
          <w:color w:val="000000" w:themeColor="text1"/>
        </w:rPr>
        <w:t>上午</w:t>
      </w:r>
      <w:r>
        <w:rPr>
          <w:rStyle w:val="aa"/>
          <w:rFonts w:asciiTheme="majorEastAsia" w:eastAsiaTheme="majorEastAsia" w:hAnsiTheme="majorEastAsia" w:cs="Arial" w:hint="eastAsia"/>
          <w:b w:val="0"/>
          <w:color w:val="000000" w:themeColor="text1"/>
        </w:rPr>
        <w:t>十时</w:t>
      </w:r>
    </w:p>
    <w:p w14:paraId="1F6768A6" w14:textId="77777777" w:rsidR="00977AB6" w:rsidRDefault="00507514">
      <w:pPr>
        <w:pStyle w:val="a9"/>
        <w:spacing w:beforeLines="50" w:before="156" w:beforeAutospacing="0" w:afterLines="50" w:after="156" w:afterAutospacing="0" w:line="320" w:lineRule="exact"/>
        <w:ind w:leftChars="-100" w:left="-210" w:rightChars="-100" w:right="-210"/>
        <w:rPr>
          <w:color w:val="000000" w:themeColor="text1"/>
        </w:rPr>
      </w:pPr>
      <w:r>
        <w:rPr>
          <w:rStyle w:val="aa"/>
          <w:rFonts w:asciiTheme="majorEastAsia" w:eastAsiaTheme="majorEastAsia" w:hAnsiTheme="majorEastAsia" w:cs="Arial"/>
          <w:b w:val="0"/>
          <w:color w:val="000000" w:themeColor="text1"/>
        </w:rPr>
        <w:t>4.拍卖地点：</w:t>
      </w:r>
      <w:r>
        <w:rPr>
          <w:rFonts w:hint="eastAsia"/>
          <w:color w:val="000000" w:themeColor="text1"/>
        </w:rPr>
        <w:t>金华市</w:t>
      </w:r>
      <w:proofErr w:type="gramStart"/>
      <w:r>
        <w:rPr>
          <w:rFonts w:hint="eastAsia"/>
          <w:color w:val="000000" w:themeColor="text1"/>
        </w:rPr>
        <w:t>李渔路1103号</w:t>
      </w:r>
      <w:proofErr w:type="gramEnd"/>
      <w:r>
        <w:rPr>
          <w:rFonts w:hint="eastAsia"/>
          <w:color w:val="000000" w:themeColor="text1"/>
        </w:rPr>
        <w:t>宝莲广场A座11楼会议室</w:t>
      </w:r>
    </w:p>
    <w:p w14:paraId="5D266E96"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三、竞买手续</w:t>
      </w:r>
    </w:p>
    <w:p w14:paraId="266D58D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t>1.竞买人资格要求</w:t>
      </w:r>
    </w:p>
    <w:p w14:paraId="4BF71776" w14:textId="77777777" w:rsidR="00977AB6" w:rsidRDefault="00507514">
      <w:pPr>
        <w:widowControl/>
        <w:spacing w:before="156" w:after="156" w:line="340" w:lineRule="exact"/>
        <w:jc w:val="left"/>
        <w:textAlignment w:val="baseline"/>
        <w:rPr>
          <w:rFonts w:cs="宋体"/>
          <w:bCs/>
          <w:color w:val="000000" w:themeColor="text1"/>
          <w:kern w:val="0"/>
          <w:sz w:val="24"/>
          <w:szCs w:val="24"/>
        </w:rPr>
      </w:pPr>
      <w:r>
        <w:rPr>
          <w:rFonts w:asciiTheme="majorEastAsia" w:eastAsiaTheme="majorEastAsia" w:hAnsiTheme="majorEastAsia" w:cs="宋体"/>
          <w:color w:val="000000" w:themeColor="text1"/>
          <w:kern w:val="0"/>
          <w:sz w:val="24"/>
          <w:szCs w:val="24"/>
        </w:rPr>
        <w:t>1、</w:t>
      </w:r>
      <w:r>
        <w:rPr>
          <w:rFonts w:cs="宋体" w:hint="eastAsia"/>
          <w:color w:val="000000" w:themeColor="text1"/>
          <w:kern w:val="0"/>
          <w:sz w:val="24"/>
          <w:szCs w:val="24"/>
        </w:rPr>
        <w:t>竞买人须具备</w:t>
      </w:r>
      <w:r>
        <w:rPr>
          <w:rFonts w:cs="宋体" w:hint="eastAsia"/>
          <w:bCs/>
          <w:color w:val="000000" w:themeColor="text1"/>
          <w:sz w:val="24"/>
          <w:szCs w:val="24"/>
        </w:rPr>
        <w:t>砂石</w:t>
      </w:r>
      <w:proofErr w:type="gramStart"/>
      <w:r>
        <w:rPr>
          <w:rFonts w:cs="宋体" w:hint="eastAsia"/>
          <w:bCs/>
          <w:color w:val="000000" w:themeColor="text1"/>
          <w:sz w:val="24"/>
          <w:szCs w:val="24"/>
        </w:rPr>
        <w:t>料经营</w:t>
      </w:r>
      <w:proofErr w:type="gramEnd"/>
      <w:r>
        <w:rPr>
          <w:rFonts w:cs="宋体" w:hint="eastAsia"/>
          <w:bCs/>
          <w:color w:val="000000" w:themeColor="text1"/>
          <w:sz w:val="24"/>
          <w:szCs w:val="24"/>
        </w:rPr>
        <w:t>运输能力的企业，并在人员、设备、资金等方面具有相应能力</w:t>
      </w:r>
      <w:r>
        <w:rPr>
          <w:rFonts w:cs="宋体" w:hint="eastAsia"/>
          <w:bCs/>
          <w:color w:val="000000" w:themeColor="text1"/>
          <w:kern w:val="0"/>
          <w:sz w:val="24"/>
          <w:szCs w:val="24"/>
        </w:rPr>
        <w:t>。报名时须提供</w:t>
      </w:r>
      <w:r>
        <w:rPr>
          <w:rFonts w:cs="宋体" w:hint="eastAsia"/>
          <w:bCs/>
          <w:color w:val="000000" w:themeColor="text1"/>
          <w:sz w:val="24"/>
          <w:szCs w:val="24"/>
        </w:rPr>
        <w:t>经年检合格的企业营业执照副本、法定代表人授权委托书及委托代理人身份证明（委托书上注明联系电话）</w:t>
      </w:r>
    </w:p>
    <w:p w14:paraId="614BE966" w14:textId="77777777" w:rsidR="00977AB6" w:rsidRDefault="00507514">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r>
        <w:rPr>
          <w:rFonts w:asciiTheme="majorEastAsia" w:eastAsiaTheme="majorEastAsia" w:hAnsiTheme="majorEastAsia" w:cs="宋体"/>
          <w:color w:val="000000" w:themeColor="text1"/>
          <w:kern w:val="0"/>
          <w:sz w:val="24"/>
          <w:szCs w:val="24"/>
        </w:rPr>
        <w:t>2、报名手续</w:t>
      </w:r>
    </w:p>
    <w:p w14:paraId="3845DE99" w14:textId="4F6C21F6" w:rsidR="00977AB6" w:rsidRDefault="00507514">
      <w:pPr>
        <w:widowControl/>
        <w:spacing w:before="156" w:after="156" w:line="340" w:lineRule="exact"/>
        <w:ind w:left="105"/>
        <w:jc w:val="left"/>
        <w:textAlignment w:val="baseline"/>
        <w:rPr>
          <w:rFonts w:cs="宋体"/>
          <w:color w:val="000000" w:themeColor="text1"/>
          <w:kern w:val="0"/>
          <w:sz w:val="24"/>
          <w:szCs w:val="24"/>
        </w:rPr>
      </w:pPr>
      <w:r>
        <w:rPr>
          <w:rFonts w:asciiTheme="majorEastAsia" w:eastAsiaTheme="majorEastAsia" w:hAnsiTheme="majorEastAsia" w:cs="Arial"/>
          <w:color w:val="000000" w:themeColor="text1"/>
          <w:sz w:val="24"/>
          <w:szCs w:val="24"/>
        </w:rPr>
        <w:t>具备竞买资格的竞买人在</w:t>
      </w:r>
      <w:r>
        <w:rPr>
          <w:rFonts w:hint="eastAsia"/>
          <w:color w:val="000000" w:themeColor="text1"/>
          <w:sz w:val="24"/>
          <w:szCs w:val="24"/>
        </w:rPr>
        <w:t>2022</w:t>
      </w:r>
      <w:r>
        <w:rPr>
          <w:rFonts w:hint="eastAsia"/>
          <w:color w:val="000000" w:themeColor="text1"/>
          <w:sz w:val="24"/>
          <w:szCs w:val="24"/>
        </w:rPr>
        <w:t>年</w:t>
      </w:r>
      <w:r>
        <w:rPr>
          <w:rFonts w:hint="eastAsia"/>
          <w:color w:val="000000" w:themeColor="text1"/>
          <w:sz w:val="24"/>
          <w:szCs w:val="24"/>
        </w:rPr>
        <w:t xml:space="preserve"> </w:t>
      </w:r>
      <w:r w:rsidR="008936FD">
        <w:rPr>
          <w:color w:val="000000" w:themeColor="text1"/>
          <w:sz w:val="24"/>
          <w:szCs w:val="24"/>
        </w:rPr>
        <w:t>8</w:t>
      </w:r>
      <w:r>
        <w:rPr>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sidR="008936FD">
        <w:rPr>
          <w:color w:val="000000" w:themeColor="text1"/>
          <w:sz w:val="24"/>
          <w:szCs w:val="24"/>
        </w:rPr>
        <w:t>17</w:t>
      </w:r>
      <w:r>
        <w:rPr>
          <w:rFonts w:hint="eastAsia"/>
          <w:color w:val="000000" w:themeColor="text1"/>
          <w:sz w:val="24"/>
          <w:szCs w:val="24"/>
        </w:rPr>
        <w:t xml:space="preserve"> </w:t>
      </w:r>
      <w:r>
        <w:rPr>
          <w:rFonts w:hint="eastAsia"/>
          <w:color w:val="000000" w:themeColor="text1"/>
          <w:sz w:val="24"/>
          <w:szCs w:val="24"/>
        </w:rPr>
        <w:t>日</w:t>
      </w:r>
      <w:r>
        <w:rPr>
          <w:rFonts w:hint="eastAsia"/>
          <w:color w:val="000000" w:themeColor="text1"/>
          <w:sz w:val="24"/>
          <w:szCs w:val="24"/>
        </w:rPr>
        <w:t>16</w:t>
      </w:r>
      <w:r>
        <w:rPr>
          <w:rFonts w:hint="eastAsia"/>
          <w:color w:val="000000" w:themeColor="text1"/>
          <w:sz w:val="24"/>
          <w:szCs w:val="24"/>
        </w:rPr>
        <w:t>：</w:t>
      </w:r>
      <w:r>
        <w:rPr>
          <w:rFonts w:hint="eastAsia"/>
          <w:color w:val="000000" w:themeColor="text1"/>
          <w:sz w:val="24"/>
          <w:szCs w:val="24"/>
        </w:rPr>
        <w:t>30</w:t>
      </w:r>
      <w:r>
        <w:rPr>
          <w:rFonts w:hint="eastAsia"/>
          <w:color w:val="000000" w:themeColor="text1"/>
          <w:sz w:val="24"/>
          <w:szCs w:val="24"/>
        </w:rPr>
        <w:t>时前</w:t>
      </w:r>
      <w:r>
        <w:rPr>
          <w:rFonts w:cs="宋体" w:hint="eastAsia"/>
          <w:color w:val="000000" w:themeColor="text1"/>
          <w:kern w:val="0"/>
          <w:sz w:val="24"/>
          <w:szCs w:val="24"/>
        </w:rPr>
        <w:t>将竞买保证金缴纳</w:t>
      </w:r>
      <w:proofErr w:type="gramStart"/>
      <w:r>
        <w:rPr>
          <w:rFonts w:cs="宋体" w:hint="eastAsia"/>
          <w:color w:val="000000" w:themeColor="text1"/>
          <w:kern w:val="0"/>
          <w:sz w:val="24"/>
          <w:szCs w:val="24"/>
        </w:rPr>
        <w:t>至以下</w:t>
      </w:r>
      <w:proofErr w:type="gramEnd"/>
      <w:r>
        <w:rPr>
          <w:rFonts w:cs="宋体" w:hint="eastAsia"/>
          <w:color w:val="000000" w:themeColor="text1"/>
          <w:kern w:val="0"/>
          <w:sz w:val="24"/>
          <w:szCs w:val="24"/>
        </w:rPr>
        <w:t>账户</w:t>
      </w:r>
      <w:r>
        <w:rPr>
          <w:rFonts w:cs="宋体" w:hint="eastAsia"/>
          <w:color w:val="000000" w:themeColor="text1"/>
          <w:kern w:val="0"/>
          <w:sz w:val="24"/>
          <w:szCs w:val="24"/>
        </w:rPr>
        <w:t>:</w:t>
      </w:r>
      <w:r>
        <w:rPr>
          <w:rFonts w:cs="宋体" w:hint="eastAsia"/>
          <w:color w:val="000000" w:themeColor="text1"/>
          <w:kern w:val="0"/>
          <w:sz w:val="24"/>
          <w:szCs w:val="24"/>
        </w:rPr>
        <w:t>户名：</w:t>
      </w:r>
      <w:r>
        <w:rPr>
          <w:rStyle w:val="NormalCharacter"/>
          <w:color w:val="000000" w:themeColor="text1"/>
          <w:sz w:val="24"/>
          <w:szCs w:val="24"/>
        </w:rPr>
        <w:t>金华市正得拍卖有限公司</w:t>
      </w:r>
      <w:r>
        <w:rPr>
          <w:rFonts w:ascii="宋体" w:eastAsia="宋体" w:hAnsi="宋体" w:cs="宋体" w:hint="eastAsia"/>
          <w:color w:val="000000" w:themeColor="text1"/>
          <w:sz w:val="24"/>
          <w:szCs w:val="24"/>
        </w:rPr>
        <w:t>;</w:t>
      </w:r>
      <w:r>
        <w:rPr>
          <w:rFonts w:cs="宋体" w:hint="eastAsia"/>
          <w:color w:val="000000" w:themeColor="text1"/>
          <w:kern w:val="0"/>
          <w:sz w:val="24"/>
          <w:szCs w:val="24"/>
        </w:rPr>
        <w:t>开户行：</w:t>
      </w:r>
      <w:r>
        <w:rPr>
          <w:rStyle w:val="NormalCharacter"/>
          <w:color w:val="000000" w:themeColor="text1"/>
          <w:sz w:val="24"/>
          <w:szCs w:val="24"/>
        </w:rPr>
        <w:t>中国银行金华市分行</w:t>
      </w:r>
      <w:r>
        <w:rPr>
          <w:rFonts w:cs="宋体" w:hint="eastAsia"/>
          <w:color w:val="000000" w:themeColor="text1"/>
          <w:kern w:val="0"/>
          <w:sz w:val="24"/>
          <w:szCs w:val="24"/>
        </w:rPr>
        <w:t xml:space="preserve"> </w:t>
      </w:r>
      <w:r>
        <w:rPr>
          <w:rFonts w:cs="宋体" w:hint="eastAsia"/>
          <w:color w:val="000000" w:themeColor="text1"/>
          <w:kern w:val="0"/>
          <w:sz w:val="24"/>
          <w:szCs w:val="24"/>
        </w:rPr>
        <w:t>，账号：</w:t>
      </w:r>
      <w:r>
        <w:rPr>
          <w:rStyle w:val="NormalCharacter"/>
          <w:color w:val="000000" w:themeColor="text1"/>
          <w:sz w:val="24"/>
          <w:szCs w:val="24"/>
        </w:rPr>
        <w:t>366258336701</w:t>
      </w:r>
      <w:r>
        <w:rPr>
          <w:rFonts w:cs="宋体" w:hint="eastAsia"/>
          <w:color w:val="000000" w:themeColor="text1"/>
          <w:kern w:val="0"/>
          <w:sz w:val="24"/>
          <w:szCs w:val="24"/>
        </w:rPr>
        <w:t xml:space="preserve"> </w:t>
      </w:r>
      <w:r>
        <w:rPr>
          <w:rFonts w:cs="宋体" w:hint="eastAsia"/>
          <w:color w:val="000000" w:themeColor="text1"/>
          <w:kern w:val="0"/>
          <w:sz w:val="24"/>
          <w:szCs w:val="24"/>
        </w:rPr>
        <w:t>，并持相关证件及汇款凭证，到金华市</w:t>
      </w:r>
      <w:proofErr w:type="gramStart"/>
      <w:r>
        <w:rPr>
          <w:rFonts w:cs="宋体" w:hint="eastAsia"/>
          <w:color w:val="000000" w:themeColor="text1"/>
          <w:kern w:val="0"/>
          <w:sz w:val="24"/>
          <w:szCs w:val="24"/>
        </w:rPr>
        <w:t>李渔路</w:t>
      </w:r>
      <w:r>
        <w:rPr>
          <w:rFonts w:cs="宋体" w:hint="eastAsia"/>
          <w:color w:val="000000" w:themeColor="text1"/>
          <w:kern w:val="0"/>
          <w:sz w:val="24"/>
          <w:szCs w:val="24"/>
        </w:rPr>
        <w:t>1103</w:t>
      </w:r>
      <w:r>
        <w:rPr>
          <w:rFonts w:cs="宋体" w:hint="eastAsia"/>
          <w:color w:val="000000" w:themeColor="text1"/>
          <w:kern w:val="0"/>
          <w:sz w:val="24"/>
          <w:szCs w:val="24"/>
        </w:rPr>
        <w:t>号</w:t>
      </w:r>
      <w:proofErr w:type="gramEnd"/>
      <w:r>
        <w:rPr>
          <w:rFonts w:cs="宋体" w:hint="eastAsia"/>
          <w:color w:val="000000" w:themeColor="text1"/>
          <w:kern w:val="0"/>
          <w:sz w:val="24"/>
          <w:szCs w:val="24"/>
        </w:rPr>
        <w:t>宝莲广场</w:t>
      </w:r>
      <w:r>
        <w:rPr>
          <w:rFonts w:cs="宋体" w:hint="eastAsia"/>
          <w:color w:val="000000" w:themeColor="text1"/>
          <w:kern w:val="0"/>
          <w:sz w:val="24"/>
          <w:szCs w:val="24"/>
        </w:rPr>
        <w:t>A</w:t>
      </w:r>
      <w:r>
        <w:rPr>
          <w:rFonts w:cs="宋体" w:hint="eastAsia"/>
          <w:color w:val="000000" w:themeColor="text1"/>
          <w:kern w:val="0"/>
          <w:sz w:val="24"/>
          <w:szCs w:val="24"/>
        </w:rPr>
        <w:t>座</w:t>
      </w:r>
      <w:r>
        <w:rPr>
          <w:rFonts w:cs="宋体" w:hint="eastAsia"/>
          <w:color w:val="000000" w:themeColor="text1"/>
          <w:kern w:val="0"/>
          <w:sz w:val="24"/>
          <w:szCs w:val="24"/>
        </w:rPr>
        <w:t>9</w:t>
      </w:r>
      <w:r>
        <w:rPr>
          <w:rFonts w:cs="宋体" w:hint="eastAsia"/>
          <w:color w:val="000000" w:themeColor="text1"/>
          <w:kern w:val="0"/>
          <w:sz w:val="24"/>
          <w:szCs w:val="24"/>
        </w:rPr>
        <w:t>楼金华市正得拍卖有限公司办理报名登记手续。</w:t>
      </w:r>
      <w:r>
        <w:rPr>
          <w:rFonts w:asciiTheme="majorEastAsia" w:eastAsiaTheme="majorEastAsia" w:hAnsiTheme="majorEastAsia" w:cs="Arial"/>
          <w:color w:val="000000" w:themeColor="text1"/>
          <w:sz w:val="24"/>
          <w:szCs w:val="24"/>
        </w:rPr>
        <w:t>竞买人应交纳竞买保证金履行报名手续并取得竞买号牌后方能参加竞买</w:t>
      </w:r>
      <w:r>
        <w:rPr>
          <w:rFonts w:asciiTheme="majorEastAsia" w:eastAsiaTheme="majorEastAsia" w:hAnsiTheme="majorEastAsia" w:cs="Arial" w:hint="eastAsia"/>
          <w:color w:val="000000" w:themeColor="text1"/>
          <w:sz w:val="24"/>
          <w:szCs w:val="24"/>
        </w:rPr>
        <w:t>.</w:t>
      </w:r>
    </w:p>
    <w:p w14:paraId="6B7966AD" w14:textId="77777777" w:rsidR="00977AB6" w:rsidRDefault="00977AB6">
      <w:pPr>
        <w:widowControl/>
        <w:spacing w:beforeLines="50" w:before="156" w:afterLines="50" w:after="156" w:line="320" w:lineRule="exact"/>
        <w:ind w:leftChars="-100" w:left="-210" w:rightChars="-100" w:right="-210"/>
        <w:jc w:val="left"/>
        <w:rPr>
          <w:rFonts w:asciiTheme="majorEastAsia" w:eastAsiaTheme="majorEastAsia" w:hAnsiTheme="majorEastAsia" w:cs="宋体"/>
          <w:color w:val="000000" w:themeColor="text1"/>
          <w:kern w:val="0"/>
          <w:sz w:val="24"/>
          <w:szCs w:val="24"/>
        </w:rPr>
      </w:pPr>
    </w:p>
    <w:p w14:paraId="2B64E58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Style w:val="aa"/>
          <w:rFonts w:asciiTheme="majorEastAsia" w:eastAsiaTheme="majorEastAsia" w:hAnsiTheme="majorEastAsia" w:cs="Arial"/>
          <w:b w:val="0"/>
          <w:color w:val="000000" w:themeColor="text1"/>
        </w:rPr>
        <w:t>3.竞买保证金</w:t>
      </w:r>
    </w:p>
    <w:p w14:paraId="58C6F883"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u w:val="single"/>
        </w:rPr>
      </w:pPr>
      <w:r>
        <w:rPr>
          <w:rFonts w:asciiTheme="majorEastAsia" w:eastAsiaTheme="majorEastAsia" w:hAnsiTheme="majorEastAsia" w:cs="Arial"/>
          <w:color w:val="000000" w:themeColor="text1"/>
        </w:rPr>
        <w:t>竞买保证金</w:t>
      </w:r>
      <w:r w:rsidRPr="008936FD">
        <w:rPr>
          <w:rFonts w:asciiTheme="majorEastAsia" w:eastAsiaTheme="majorEastAsia" w:hAnsiTheme="majorEastAsia" w:cs="Arial" w:hint="eastAsia"/>
        </w:rPr>
        <w:t xml:space="preserve"> </w:t>
      </w:r>
      <w:r w:rsidRPr="008936FD">
        <w:rPr>
          <w:rFonts w:asciiTheme="majorEastAsia" w:eastAsiaTheme="majorEastAsia" w:hAnsiTheme="majorEastAsia" w:cs="Arial"/>
          <w:u w:val="single"/>
        </w:rPr>
        <w:t>80</w:t>
      </w:r>
      <w:r w:rsidRPr="008936FD">
        <w:rPr>
          <w:rFonts w:asciiTheme="majorEastAsia" w:eastAsiaTheme="majorEastAsia" w:hAnsiTheme="majorEastAsia" w:cs="Arial" w:hint="eastAsia"/>
          <w:u w:val="single"/>
        </w:rPr>
        <w:t xml:space="preserve"> </w:t>
      </w:r>
      <w:r w:rsidRPr="008936FD">
        <w:rPr>
          <w:rFonts w:asciiTheme="majorEastAsia" w:eastAsiaTheme="majorEastAsia" w:hAnsiTheme="majorEastAsia" w:cs="Arial"/>
        </w:rPr>
        <w:t>万元</w:t>
      </w:r>
      <w:r>
        <w:rPr>
          <w:rFonts w:asciiTheme="majorEastAsia" w:eastAsiaTheme="majorEastAsia" w:hAnsiTheme="majorEastAsia" w:cs="Arial"/>
          <w:color w:val="000000" w:themeColor="text1"/>
        </w:rPr>
        <w:t>。如未竞买成功，由拍卖人在拍卖会结束后3日内无息全额退还。买受人竞买保证金在买受人足额缴纳拍卖佣金、履约保证金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拍卖成交款、并签订砂石料出让合同后3日内无息全额退还。</w:t>
      </w:r>
    </w:p>
    <w:p w14:paraId="64388C75" w14:textId="77777777" w:rsidR="00977AB6" w:rsidRDefault="00507514">
      <w:pPr>
        <w:shd w:val="solid" w:color="FFFFFF" w:fill="auto"/>
        <w:autoSpaceDN w:val="0"/>
        <w:spacing w:beforeLines="50" w:before="156" w:afterLines="50" w:after="156" w:line="320" w:lineRule="exact"/>
        <w:ind w:leftChars="-100" w:left="-210" w:rightChars="-100" w:right="-210"/>
        <w:jc w:val="left"/>
        <w:textAlignment w:val="baseline"/>
        <w:rPr>
          <w:rFonts w:asciiTheme="majorEastAsia" w:eastAsiaTheme="majorEastAsia" w:hAnsiTheme="majorEastAsia" w:cs="Arial"/>
          <w:color w:val="000000" w:themeColor="text1"/>
          <w:sz w:val="24"/>
          <w:szCs w:val="24"/>
        </w:rPr>
      </w:pPr>
      <w:r>
        <w:rPr>
          <w:rFonts w:asciiTheme="majorEastAsia" w:eastAsiaTheme="majorEastAsia" w:hAnsiTheme="majorEastAsia" w:cs="Arial"/>
          <w:b/>
          <w:color w:val="000000" w:themeColor="text1"/>
          <w:sz w:val="24"/>
          <w:szCs w:val="24"/>
        </w:rPr>
        <w:t>四、拍卖人声明</w:t>
      </w:r>
    </w:p>
    <w:p w14:paraId="687160A8"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品质等以其现状为准。竞买人有权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在拍卖人公告的时间、地点查阅拍卖标的现有资料，有权</w:t>
      </w:r>
      <w:proofErr w:type="gramStart"/>
      <w:r>
        <w:rPr>
          <w:rFonts w:asciiTheme="majorEastAsia" w:eastAsiaTheme="majorEastAsia" w:hAnsiTheme="majorEastAsia" w:cs="Arial"/>
          <w:color w:val="000000" w:themeColor="text1"/>
        </w:rPr>
        <w:t>亦应当</w:t>
      </w:r>
      <w:proofErr w:type="gramEnd"/>
      <w:r>
        <w:rPr>
          <w:rFonts w:asciiTheme="majorEastAsia" w:eastAsiaTheme="majorEastAsia" w:hAnsiTheme="majorEastAsia" w:cs="Arial"/>
          <w:color w:val="000000" w:themeColor="text1"/>
        </w:rPr>
        <w:t>实地察看拍卖标的，了解拍卖标的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权属、品质、数量等情况，进入拍卖会场后，竞买人应视作已行使该项权利。拍卖人采用任何形式对拍卖标的所作的介绍、描述和评论均属参考意见，不构成对标的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任何保证、承诺。除本拍卖人另行出具</w:t>
      </w:r>
      <w:proofErr w:type="gramStart"/>
      <w:r>
        <w:rPr>
          <w:rFonts w:asciiTheme="majorEastAsia" w:eastAsiaTheme="majorEastAsia" w:hAnsiTheme="majorEastAsia" w:cs="Arial"/>
          <w:color w:val="000000" w:themeColor="text1"/>
        </w:rPr>
        <w:t>特别</w:t>
      </w:r>
      <w:proofErr w:type="gramEnd"/>
      <w:r>
        <w:rPr>
          <w:rFonts w:asciiTheme="majorEastAsia" w:eastAsiaTheme="majorEastAsia" w:hAnsiTheme="majorEastAsia" w:cs="Arial"/>
          <w:color w:val="000000" w:themeColor="text1"/>
        </w:rPr>
        <w:t>书面意见外，竞买人一经正式报名参加竞买，则表示对拍卖标的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所有现状予以认可，并全部接受拍卖文件规定的条件。拍卖人、委托人不承担拍卖标的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品质瑕疵担保责任（</w:t>
      </w:r>
      <w:r>
        <w:rPr>
          <w:rFonts w:hint="eastAsia"/>
          <w:color w:val="000000" w:themeColor="text1"/>
        </w:rPr>
        <w:t>瑕疵包括但不限于：标的</w:t>
      </w:r>
      <w:proofErr w:type="gramStart"/>
      <w:r>
        <w:rPr>
          <w:rFonts w:hint="eastAsia"/>
          <w:color w:val="000000" w:themeColor="text1"/>
        </w:rPr>
        <w:t>的</w:t>
      </w:r>
      <w:proofErr w:type="gramEnd"/>
      <w:r>
        <w:rPr>
          <w:rFonts w:hint="eastAsia"/>
          <w:color w:val="000000" w:themeColor="text1"/>
        </w:rPr>
        <w:t>数量、质量、品质，净储量、净总量、可利用料储量可能低于评估报告及地勘技术报告中已披露的数据</w:t>
      </w:r>
      <w:r>
        <w:rPr>
          <w:rFonts w:asciiTheme="majorEastAsia" w:eastAsiaTheme="majorEastAsia" w:hAnsiTheme="majorEastAsia" w:cs="Arial"/>
          <w:color w:val="000000" w:themeColor="text1"/>
        </w:rPr>
        <w:t>）。</w:t>
      </w:r>
    </w:p>
    <w:p w14:paraId="60960C68" w14:textId="77777777" w:rsidR="00977AB6" w:rsidRPr="008936FD"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sidRPr="008936FD">
        <w:rPr>
          <w:rFonts w:asciiTheme="majorEastAsia" w:eastAsiaTheme="majorEastAsia" w:hAnsiTheme="majorEastAsia" w:cs="Arial"/>
        </w:rPr>
        <w:lastRenderedPageBreak/>
        <w:t>2. 本次拍卖起拍价及成交价均未包含其他费用，</w:t>
      </w:r>
      <w:r w:rsidRPr="008936FD">
        <w:rPr>
          <w:rFonts w:asciiTheme="majorEastAsia" w:eastAsiaTheme="majorEastAsia" w:hAnsiTheme="majorEastAsia" w:cs="Arial" w:hint="eastAsia"/>
        </w:rPr>
        <w:t>拍卖标的物覆土表层残留</w:t>
      </w:r>
      <w:proofErr w:type="gramStart"/>
      <w:r w:rsidRPr="008936FD">
        <w:rPr>
          <w:rFonts w:asciiTheme="majorEastAsia" w:eastAsiaTheme="majorEastAsia" w:hAnsiTheme="majorEastAsia" w:cs="Arial" w:hint="eastAsia"/>
        </w:rPr>
        <w:t>杂土由买</w:t>
      </w:r>
      <w:proofErr w:type="gramEnd"/>
      <w:r w:rsidRPr="008936FD">
        <w:rPr>
          <w:rFonts w:asciiTheme="majorEastAsia" w:eastAsiaTheme="majorEastAsia" w:hAnsiTheme="majorEastAsia" w:cs="Arial" w:hint="eastAsia"/>
        </w:rPr>
        <w:t>受人自行考虑，砂石和杂土挖掘、运输、卸载等所需费用由买受人自行承担。</w:t>
      </w:r>
    </w:p>
    <w:p w14:paraId="7766E9E3"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sidRPr="008936FD">
        <w:rPr>
          <w:rFonts w:asciiTheme="majorEastAsia" w:eastAsiaTheme="majorEastAsia" w:hAnsiTheme="majorEastAsia" w:cs="Arial"/>
        </w:rPr>
        <w:t>3．</w:t>
      </w:r>
      <w:r w:rsidRPr="008936FD">
        <w:rPr>
          <w:rFonts w:hint="eastAsia"/>
        </w:rPr>
        <w:t>本次标的详见表 1-2，北侧（二层）基坑开挖面积约 8002m2，坑底标高：＋28.55m，南侧（一层）基坑开挖面积约 16793m2，坑底标高：＋32.45m。</w:t>
      </w:r>
      <w:r w:rsidRPr="008936FD">
        <w:t>海拔高程</w:t>
      </w:r>
      <w:r w:rsidRPr="008936FD">
        <w:rPr>
          <w:rFonts w:hint="eastAsia"/>
        </w:rPr>
        <w:t>+</w:t>
      </w:r>
      <w:r w:rsidRPr="008936FD">
        <w:t>36.67</w:t>
      </w:r>
      <w:r w:rsidRPr="008936FD">
        <w:rPr>
          <w:rFonts w:hint="eastAsia"/>
        </w:rPr>
        <w:t xml:space="preserve"> m～+</w:t>
      </w:r>
      <w:r w:rsidRPr="008936FD">
        <w:t>38.41</w:t>
      </w:r>
      <w:r w:rsidRPr="008936FD">
        <w:rPr>
          <w:rFonts w:hint="eastAsia"/>
        </w:rPr>
        <w:t>m,最大相对高差1</w:t>
      </w:r>
      <w:r w:rsidRPr="008936FD">
        <w:t>.74</w:t>
      </w:r>
      <w:r w:rsidRPr="008936FD">
        <w:rPr>
          <w:rFonts w:hint="eastAsia"/>
        </w:rPr>
        <w:t xml:space="preserve"> m（详见本标的资源储量估算报告）</w:t>
      </w:r>
      <w:r w:rsidRPr="008936FD">
        <w:rPr>
          <w:rFonts w:asciiTheme="majorEastAsia" w:eastAsiaTheme="majorEastAsia" w:hAnsiTheme="majorEastAsia" w:cs="Arial"/>
        </w:rPr>
        <w:t>基坑砂石料开挖完</w:t>
      </w:r>
      <w:r>
        <w:rPr>
          <w:rFonts w:asciiTheme="majorEastAsia" w:eastAsiaTheme="majorEastAsia" w:hAnsiTheme="majorEastAsia" w:cs="Arial"/>
          <w:color w:val="000000" w:themeColor="text1"/>
        </w:rPr>
        <w:t>成后，由委托人组织本项目总包单位、监理单位及其他相关部门进行现场测绘及联合验收，实际开挖过程绝对不允许</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越界开采，如出现</w:t>
      </w:r>
      <w:r>
        <w:rPr>
          <w:rFonts w:asciiTheme="majorEastAsia" w:eastAsiaTheme="majorEastAsia" w:hAnsiTheme="majorEastAsia" w:cs="Arial" w:hint="eastAsia"/>
          <w:color w:val="000000" w:themeColor="text1"/>
        </w:rPr>
        <w:t>超深、</w:t>
      </w:r>
      <w:r>
        <w:rPr>
          <w:rFonts w:asciiTheme="majorEastAsia" w:eastAsiaTheme="majorEastAsia" w:hAnsiTheme="majorEastAsia" w:cs="Arial"/>
          <w:color w:val="000000" w:themeColor="text1"/>
        </w:rPr>
        <w:t>越界开采行为，将依据《中华人民共和国矿产资源法》进行处罚，够到刑事责任将依法移交公安部门处理。</w:t>
      </w:r>
    </w:p>
    <w:p w14:paraId="4227B030"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4.本次开采挖掘深度与总包单位、监理单位、跟踪审计单位确认后明确。开挖过程中，做好安全防护工作，与总包单</w:t>
      </w:r>
      <w:proofErr w:type="gramStart"/>
      <w:r>
        <w:rPr>
          <w:rFonts w:asciiTheme="majorEastAsia" w:eastAsiaTheme="majorEastAsia" w:hAnsiTheme="majorEastAsia" w:cs="Arial"/>
          <w:color w:val="000000" w:themeColor="text1"/>
        </w:rPr>
        <w:t>位做好</w:t>
      </w:r>
      <w:proofErr w:type="gramEnd"/>
      <w:r>
        <w:rPr>
          <w:rFonts w:asciiTheme="majorEastAsia" w:eastAsiaTheme="majorEastAsia" w:hAnsiTheme="majorEastAsia" w:cs="Arial"/>
          <w:color w:val="000000" w:themeColor="text1"/>
        </w:rPr>
        <w:t>配合工作，接受甲方、施工单位、监理单位、跟踪审计单位、主管部门的监督，开挖时限为</w:t>
      </w:r>
      <w:r w:rsidRPr="008936FD">
        <w:rPr>
          <w:rFonts w:asciiTheme="majorEastAsia" w:eastAsiaTheme="majorEastAsia" w:hAnsiTheme="majorEastAsia" w:cs="Arial" w:hint="eastAsia"/>
        </w:rPr>
        <w:t>45</w:t>
      </w:r>
      <w:r>
        <w:rPr>
          <w:rFonts w:asciiTheme="majorEastAsia" w:eastAsiaTheme="majorEastAsia" w:hAnsiTheme="majorEastAsia" w:cs="Arial" w:hint="eastAsia"/>
          <w:color w:val="000000" w:themeColor="text1"/>
        </w:rPr>
        <w:t>日。</w:t>
      </w:r>
    </w:p>
    <w:p w14:paraId="079EEBB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5.竞买人为竞买活动付出的一切成本均由竞买人自行承担，不论其竞买是否成功，也无论是什么原因（包括但不限于撤拍、变更拍卖方式、起拍价等）</w:t>
      </w:r>
    </w:p>
    <w:p w14:paraId="76C4BF5D"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6.拍卖人有权拒绝任何不适宜人员进入拍卖会场，有权调整竞价</w:t>
      </w:r>
      <w:proofErr w:type="gramStart"/>
      <w:r>
        <w:rPr>
          <w:rFonts w:asciiTheme="majorEastAsia" w:eastAsiaTheme="majorEastAsia" w:hAnsiTheme="majorEastAsia" w:cs="Arial"/>
          <w:color w:val="000000" w:themeColor="text1"/>
        </w:rPr>
        <w:t>价</w:t>
      </w:r>
      <w:proofErr w:type="gramEnd"/>
      <w:r>
        <w:rPr>
          <w:rFonts w:asciiTheme="majorEastAsia" w:eastAsiaTheme="majorEastAsia" w:hAnsiTheme="majorEastAsia" w:cs="Arial"/>
          <w:color w:val="000000" w:themeColor="text1"/>
        </w:rPr>
        <w:t>阶，在出现争议时，拍卖师有权当场收回标的重新拍卖。</w:t>
      </w:r>
    </w:p>
    <w:p w14:paraId="74EE395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7.本次拍卖的拍卖公告、竞买申请、竞买协议、竞买须知、成交确认书是拍卖文件的重要组成部分。</w:t>
      </w:r>
    </w:p>
    <w:p w14:paraId="721B71E2"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五、竞价规则</w:t>
      </w:r>
    </w:p>
    <w:p w14:paraId="21ECE7D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1.本次拍卖标的设有保留价。竞买人的最高应价未达到保留价时，该应价不发生效力，拍卖师将停止该拍卖标的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拍卖。</w:t>
      </w:r>
    </w:p>
    <w:p w14:paraId="1887A709"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2.本次拍卖采取有保留价的</w:t>
      </w:r>
      <w:proofErr w:type="gramStart"/>
      <w:r>
        <w:rPr>
          <w:rFonts w:asciiTheme="majorEastAsia" w:eastAsiaTheme="majorEastAsia" w:hAnsiTheme="majorEastAsia" w:cs="Arial"/>
          <w:color w:val="000000" w:themeColor="text1"/>
        </w:rPr>
        <w:t>增价式拍卖</w:t>
      </w:r>
      <w:proofErr w:type="gramEnd"/>
      <w:r>
        <w:rPr>
          <w:rFonts w:asciiTheme="majorEastAsia" w:eastAsiaTheme="majorEastAsia" w:hAnsiTheme="majorEastAsia" w:cs="Arial"/>
          <w:color w:val="000000" w:themeColor="text1"/>
        </w:rPr>
        <w:t>方式，即在拍卖师宣布标的</w:t>
      </w:r>
      <w:proofErr w:type="gramStart"/>
      <w:r>
        <w:rPr>
          <w:rFonts w:asciiTheme="majorEastAsia" w:eastAsiaTheme="majorEastAsia" w:hAnsiTheme="majorEastAsia" w:cs="Arial"/>
          <w:color w:val="000000" w:themeColor="text1"/>
        </w:rPr>
        <w:t>的</w:t>
      </w:r>
      <w:proofErr w:type="gramEnd"/>
      <w:r>
        <w:rPr>
          <w:rFonts w:asciiTheme="majorEastAsia" w:eastAsiaTheme="majorEastAsia" w:hAnsiTheme="majorEastAsia" w:cs="Arial"/>
          <w:color w:val="000000" w:themeColor="text1"/>
        </w:rPr>
        <w:t>起拍价后，竞买人以此价为限由低至高按竞价幅度竞争应价，最后拍卖师以达到或超过拍卖保留价的最高应价落槌成交。</w:t>
      </w:r>
    </w:p>
    <w:p w14:paraId="271FBC0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3.竞价幅度（又</w:t>
      </w:r>
      <w:proofErr w:type="gramStart"/>
      <w:r>
        <w:rPr>
          <w:rFonts w:asciiTheme="majorEastAsia" w:eastAsiaTheme="majorEastAsia" w:hAnsiTheme="majorEastAsia" w:cs="Arial"/>
          <w:color w:val="000000" w:themeColor="text1"/>
        </w:rPr>
        <w:t>称价阶</w:t>
      </w:r>
      <w:proofErr w:type="gramEnd"/>
      <w:r>
        <w:rPr>
          <w:rFonts w:asciiTheme="majorEastAsia" w:eastAsiaTheme="majorEastAsia" w:hAnsiTheme="majorEastAsia" w:cs="Arial"/>
          <w:color w:val="000000" w:themeColor="text1"/>
        </w:rPr>
        <w:t>）是竞买人每次竞价必须增加的金额。</w:t>
      </w:r>
      <w:proofErr w:type="gramStart"/>
      <w:r>
        <w:rPr>
          <w:rFonts w:asciiTheme="majorEastAsia" w:eastAsiaTheme="majorEastAsia" w:hAnsiTheme="majorEastAsia" w:cs="Arial"/>
          <w:color w:val="000000" w:themeColor="text1"/>
        </w:rPr>
        <w:t>价阶由</w:t>
      </w:r>
      <w:proofErr w:type="gramEnd"/>
      <w:r>
        <w:rPr>
          <w:rFonts w:asciiTheme="majorEastAsia" w:eastAsiaTheme="majorEastAsia" w:hAnsiTheme="majorEastAsia" w:cs="Arial"/>
          <w:color w:val="000000" w:themeColor="text1"/>
        </w:rPr>
        <w:t>拍卖师在拍卖前和拍卖中确定。竞买人每次应价应在前面应价的基础上，至少增加</w:t>
      </w:r>
      <w:proofErr w:type="gramStart"/>
      <w:r>
        <w:rPr>
          <w:rFonts w:asciiTheme="majorEastAsia" w:eastAsiaTheme="majorEastAsia" w:hAnsiTheme="majorEastAsia" w:cs="Arial"/>
          <w:color w:val="000000" w:themeColor="text1"/>
        </w:rPr>
        <w:t>一个价阶或</w:t>
      </w:r>
      <w:proofErr w:type="gramEnd"/>
      <w:r>
        <w:rPr>
          <w:rFonts w:asciiTheme="majorEastAsia" w:eastAsiaTheme="majorEastAsia" w:hAnsiTheme="majorEastAsia" w:cs="Arial"/>
          <w:color w:val="000000" w:themeColor="text1"/>
        </w:rPr>
        <w:t>按价阶的整数倍数加价。在拍卖师宣布起拍价并开始竞价后，竞买人若要应价，应举应价号牌，并可同时口头报出所应价格。一经应价，不得撤回。待拍卖师确认有新的竞买人有更高应价时，其应价即丧失约束力。</w:t>
      </w:r>
    </w:p>
    <w:p w14:paraId="077CC4B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4.标的转让给达到或超过拍卖底价（保留价）的最高应价的竞买人。拍卖师采用“三次叫价”和落槌方式确认拍卖成交，即拍卖</w:t>
      </w:r>
      <w:proofErr w:type="gramStart"/>
      <w:r>
        <w:rPr>
          <w:rFonts w:asciiTheme="majorEastAsia" w:eastAsiaTheme="majorEastAsia" w:hAnsiTheme="majorEastAsia" w:cs="Arial"/>
          <w:color w:val="000000" w:themeColor="text1"/>
        </w:rPr>
        <w:t>师连续</w:t>
      </w:r>
      <w:proofErr w:type="gramEnd"/>
      <w:r>
        <w:rPr>
          <w:rFonts w:asciiTheme="majorEastAsia" w:eastAsiaTheme="majorEastAsia" w:hAnsiTheme="majorEastAsia" w:cs="Arial"/>
          <w:color w:val="000000" w:themeColor="text1"/>
        </w:rPr>
        <w:t>重复三次最高应价，如无人再应价，拍卖师将根据拍卖底价的情况决定是否成交，如最高应价大于或等于拍卖底价，拍卖师即以落槌形式表示成交并当场宣布，反之则标的未成交。</w:t>
      </w:r>
    </w:p>
    <w:p w14:paraId="5892689B"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5.竞买人的应价一经拍卖师</w:t>
      </w:r>
      <w:proofErr w:type="gramStart"/>
      <w:r>
        <w:rPr>
          <w:rFonts w:asciiTheme="majorEastAsia" w:eastAsiaTheme="majorEastAsia" w:hAnsiTheme="majorEastAsia" w:cs="Arial"/>
          <w:color w:val="000000" w:themeColor="text1"/>
        </w:rPr>
        <w:t>击槌即表示</w:t>
      </w:r>
      <w:proofErr w:type="gramEnd"/>
      <w:r>
        <w:rPr>
          <w:rFonts w:asciiTheme="majorEastAsia" w:eastAsiaTheme="majorEastAsia" w:hAnsiTheme="majorEastAsia" w:cs="Arial"/>
          <w:color w:val="000000" w:themeColor="text1"/>
        </w:rPr>
        <w:t>拍卖成交。买受人应当</w:t>
      </w:r>
      <w:proofErr w:type="gramStart"/>
      <w:r>
        <w:rPr>
          <w:rFonts w:asciiTheme="majorEastAsia" w:eastAsiaTheme="majorEastAsia" w:hAnsiTheme="majorEastAsia" w:cs="Arial"/>
          <w:color w:val="000000" w:themeColor="text1"/>
        </w:rPr>
        <w:t>场签署</w:t>
      </w:r>
      <w:proofErr w:type="gramEnd"/>
      <w:r>
        <w:rPr>
          <w:rFonts w:asciiTheme="majorEastAsia" w:eastAsiaTheme="majorEastAsia" w:hAnsiTheme="majorEastAsia" w:cs="Arial"/>
          <w:color w:val="000000" w:themeColor="text1"/>
        </w:rPr>
        <w:t>《拍卖成交确认书》，并在《拍卖记录表》上签字。买受人拒绝签订《拍卖成交确认书》也不能对抗拍卖成交结果的法律效力。</w:t>
      </w:r>
    </w:p>
    <w:p w14:paraId="03C3E5E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六、拍卖成交</w:t>
      </w:r>
    </w:p>
    <w:p w14:paraId="0D571EAB"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Style w:val="aa"/>
          <w:rFonts w:asciiTheme="majorEastAsia" w:eastAsiaTheme="majorEastAsia" w:hAnsiTheme="majorEastAsia" w:cs="Arial"/>
          <w:b w:val="0"/>
          <w:color w:val="000000" w:themeColor="text1"/>
        </w:rPr>
        <w:lastRenderedPageBreak/>
        <w:t>1.拍卖成交手续</w:t>
      </w:r>
    </w:p>
    <w:p w14:paraId="62403A7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拍卖成交后，拍卖人只出具《拍卖成交确认书》，且不提供变更手续。</w:t>
      </w:r>
    </w:p>
    <w:p w14:paraId="5510F2B3"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拍卖成交后，买受人与委托人在本须知内容以外另行约定而产生的后果与拍卖人无关。</w:t>
      </w:r>
    </w:p>
    <w:p w14:paraId="063BB1B2" w14:textId="35F1E659" w:rsidR="00977AB6" w:rsidRDefault="00507514">
      <w:pPr>
        <w:pStyle w:val="a9"/>
        <w:spacing w:beforeLines="50" w:before="156" w:beforeAutospacing="0" w:afterLines="50" w:after="156" w:afterAutospacing="0" w:line="320" w:lineRule="exact"/>
        <w:ind w:leftChars="-100" w:left="-210" w:rightChars="-100" w:right="-210"/>
        <w:rPr>
          <w:rStyle w:val="aa"/>
          <w:b w:val="0"/>
        </w:rPr>
      </w:pPr>
      <w:r>
        <w:rPr>
          <w:rStyle w:val="aa"/>
          <w:b w:val="0"/>
        </w:rPr>
        <w:t>2.拍卖成交款、</w:t>
      </w:r>
      <w:r>
        <w:rPr>
          <w:rStyle w:val="aa"/>
          <w:b w:val="0"/>
          <w:color w:val="000000" w:themeColor="text1"/>
        </w:rPr>
        <w:t>履约保证金</w:t>
      </w:r>
      <w:r>
        <w:rPr>
          <w:rStyle w:val="aa"/>
          <w:rFonts w:hint="eastAsia"/>
          <w:b w:val="0"/>
        </w:rPr>
        <w:t>支付</w:t>
      </w:r>
    </w:p>
    <w:p w14:paraId="3B1CA606" w14:textId="0D5589E7" w:rsidR="00977AB6" w:rsidRDefault="00507514">
      <w:pPr>
        <w:pStyle w:val="a9"/>
        <w:spacing w:beforeLines="50" w:before="156" w:beforeAutospacing="0" w:afterLines="50" w:after="156" w:afterAutospacing="0" w:line="320" w:lineRule="exact"/>
        <w:ind w:leftChars="-100" w:left="-210" w:rightChars="-100" w:right="-210"/>
        <w:rPr>
          <w:rStyle w:val="aa"/>
          <w:b w:val="0"/>
        </w:rPr>
      </w:pPr>
      <w:r>
        <w:rPr>
          <w:rStyle w:val="aa"/>
          <w:b w:val="0"/>
        </w:rPr>
        <w:t>买受人须在成交之日起5</w:t>
      </w:r>
      <w:r w:rsidR="00B76CA6">
        <w:rPr>
          <w:rStyle w:val="aa"/>
          <w:rFonts w:hint="eastAsia"/>
          <w:b w:val="0"/>
        </w:rPr>
        <w:t>个工作</w:t>
      </w:r>
      <w:r>
        <w:rPr>
          <w:rStyle w:val="aa"/>
          <w:b w:val="0"/>
        </w:rPr>
        <w:t>日内，向委托人指定账户付清全部拍卖成交款及履约保证金。逾期未付清，买受人将承担违约责任（违约责任详见本须知第八条）。拍卖成交价款、履约保证金缴款账户如下：</w:t>
      </w:r>
    </w:p>
    <w:p w14:paraId="5519FC09" w14:textId="77777777"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b w:val="0"/>
        </w:rPr>
        <w:t>拍卖成交款：收款单位</w:t>
      </w:r>
      <w:r w:rsidRPr="008936FD">
        <w:rPr>
          <w:rStyle w:val="aa"/>
          <w:rFonts w:asciiTheme="majorEastAsia" w:eastAsiaTheme="majorEastAsia" w:hAnsiTheme="majorEastAsia" w:cs="Arial" w:hint="eastAsia"/>
          <w:b w:val="0"/>
        </w:rPr>
        <w:t>：金华市</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城区财政局乡镇非税资金财政专户</w:t>
      </w:r>
    </w:p>
    <w:p w14:paraId="60E6C686" w14:textId="77777777"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rFonts w:asciiTheme="majorEastAsia" w:eastAsiaTheme="majorEastAsia" w:hAnsiTheme="majorEastAsia" w:cs="Arial" w:hint="eastAsia"/>
          <w:b w:val="0"/>
        </w:rPr>
        <w:t>开户账号：1301026400000502789203</w:t>
      </w:r>
      <w:r w:rsidRPr="008936FD">
        <w:rPr>
          <w:rStyle w:val="aa"/>
          <w:rFonts w:asciiTheme="majorEastAsia" w:eastAsiaTheme="majorEastAsia" w:hAnsiTheme="majorEastAsia" w:cs="Arial"/>
          <w:b w:val="0"/>
        </w:rPr>
        <w:t xml:space="preserve">   </w:t>
      </w:r>
      <w:r w:rsidRPr="008936FD">
        <w:rPr>
          <w:rStyle w:val="aa"/>
          <w:rFonts w:asciiTheme="majorEastAsia" w:eastAsiaTheme="majorEastAsia" w:hAnsiTheme="majorEastAsia" w:cs="Arial" w:hint="eastAsia"/>
          <w:b w:val="0"/>
        </w:rPr>
        <w:t>开户行：金华银行</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城支行</w:t>
      </w:r>
    </w:p>
    <w:p w14:paraId="09A316FF" w14:textId="77777777" w:rsidR="00FF3E36"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b w:val="0"/>
        </w:rPr>
        <w:t>履约保证金（</w:t>
      </w:r>
      <w:r w:rsidR="00FF3E36">
        <w:rPr>
          <w:rStyle w:val="aa"/>
          <w:rFonts w:hint="eastAsia"/>
          <w:b w:val="0"/>
        </w:rPr>
        <w:t>8</w:t>
      </w:r>
      <w:r w:rsidR="00FF3E36">
        <w:rPr>
          <w:rStyle w:val="aa"/>
          <w:b w:val="0"/>
        </w:rPr>
        <w:t>0</w:t>
      </w:r>
      <w:r w:rsidR="00FF3E36">
        <w:rPr>
          <w:rStyle w:val="aa"/>
          <w:rFonts w:hint="eastAsia"/>
          <w:b w:val="0"/>
        </w:rPr>
        <w:t>万元</w:t>
      </w:r>
      <w:r w:rsidRPr="008936FD">
        <w:rPr>
          <w:rStyle w:val="aa"/>
          <w:rFonts w:hint="eastAsia"/>
          <w:b w:val="0"/>
        </w:rPr>
        <w:t>）：</w:t>
      </w:r>
      <w:r w:rsidRPr="008936FD">
        <w:rPr>
          <w:rStyle w:val="aa"/>
          <w:b w:val="0"/>
        </w:rPr>
        <w:t>收款单位</w:t>
      </w:r>
      <w:r w:rsidR="00FF3E36">
        <w:rPr>
          <w:rStyle w:val="aa"/>
          <w:rFonts w:asciiTheme="majorEastAsia" w:eastAsiaTheme="majorEastAsia" w:hAnsiTheme="majorEastAsia" w:cs="Arial" w:hint="eastAsia"/>
          <w:b w:val="0"/>
        </w:rPr>
        <w:t>：</w:t>
      </w:r>
      <w:r w:rsidRPr="008936FD">
        <w:rPr>
          <w:rStyle w:val="aa"/>
          <w:rFonts w:asciiTheme="majorEastAsia" w:eastAsiaTheme="majorEastAsia" w:hAnsiTheme="majorEastAsia" w:cs="Arial" w:hint="eastAsia"/>
          <w:b w:val="0"/>
        </w:rPr>
        <w:t>金华市</w:t>
      </w:r>
      <w:proofErr w:type="gramStart"/>
      <w:r w:rsidRPr="008936FD">
        <w:rPr>
          <w:rStyle w:val="aa"/>
          <w:rFonts w:asciiTheme="majorEastAsia" w:eastAsiaTheme="majorEastAsia" w:hAnsiTheme="majorEastAsia" w:cs="Arial" w:hint="eastAsia"/>
          <w:b w:val="0"/>
        </w:rPr>
        <w:t>婺</w:t>
      </w:r>
      <w:proofErr w:type="gramEnd"/>
      <w:r w:rsidRPr="008936FD">
        <w:rPr>
          <w:rStyle w:val="aa"/>
          <w:rFonts w:asciiTheme="majorEastAsia" w:eastAsiaTheme="majorEastAsia" w:hAnsiTheme="majorEastAsia" w:cs="Arial" w:hint="eastAsia"/>
          <w:b w:val="0"/>
        </w:rPr>
        <w:t>城新城区开发建设管理委员会</w:t>
      </w:r>
    </w:p>
    <w:p w14:paraId="105AFA0B" w14:textId="54B6F35D" w:rsidR="00977AB6" w:rsidRPr="008936FD"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b w:val="0"/>
        </w:rPr>
      </w:pPr>
      <w:r w:rsidRPr="008936FD">
        <w:rPr>
          <w:rStyle w:val="aa"/>
          <w:rFonts w:asciiTheme="majorEastAsia" w:eastAsiaTheme="majorEastAsia" w:hAnsiTheme="majorEastAsia" w:cs="Arial" w:hint="eastAsia"/>
          <w:b w:val="0"/>
        </w:rPr>
        <w:t>开户账号：</w:t>
      </w:r>
      <w:r w:rsidRPr="008936FD">
        <w:rPr>
          <w:rStyle w:val="aa"/>
          <w:rFonts w:asciiTheme="majorEastAsia" w:eastAsiaTheme="majorEastAsia" w:hAnsiTheme="majorEastAsia" w:cs="Arial"/>
          <w:b w:val="0"/>
        </w:rPr>
        <w:t xml:space="preserve">33001676737050000137     </w:t>
      </w:r>
      <w:r w:rsidRPr="008936FD">
        <w:rPr>
          <w:rStyle w:val="aa"/>
          <w:rFonts w:asciiTheme="majorEastAsia" w:eastAsiaTheme="majorEastAsia" w:hAnsiTheme="majorEastAsia" w:cs="Arial" w:hint="eastAsia"/>
          <w:b w:val="0"/>
        </w:rPr>
        <w:t>开户行：建行金华婺城支行</w:t>
      </w:r>
    </w:p>
    <w:p w14:paraId="0D37390A" w14:textId="77777777" w:rsidR="00977AB6" w:rsidRDefault="00507514">
      <w:pPr>
        <w:pStyle w:val="a9"/>
        <w:spacing w:beforeLines="50" w:before="156" w:beforeAutospacing="0" w:afterLines="50" w:after="156" w:afterAutospacing="0" w:line="320" w:lineRule="exact"/>
        <w:ind w:leftChars="-100" w:left="-210" w:rightChars="-100" w:right="-210"/>
        <w:rPr>
          <w:rStyle w:val="aa"/>
          <w:rFonts w:asciiTheme="majorEastAsia" w:eastAsiaTheme="majorEastAsia" w:hAnsiTheme="majorEastAsia" w:cs="Arial"/>
          <w:color w:val="000000" w:themeColor="text1"/>
        </w:rPr>
      </w:pPr>
      <w:r>
        <w:rPr>
          <w:rStyle w:val="aa"/>
          <w:rFonts w:asciiTheme="majorEastAsia" w:eastAsiaTheme="majorEastAsia" w:hAnsiTheme="majorEastAsia" w:cs="Arial"/>
          <w:b w:val="0"/>
          <w:color w:val="000000" w:themeColor="text1"/>
        </w:rPr>
        <w:t>3.拍卖佣金</w:t>
      </w:r>
      <w:r>
        <w:rPr>
          <w:rStyle w:val="aa"/>
          <w:rFonts w:asciiTheme="majorEastAsia" w:eastAsiaTheme="majorEastAsia" w:hAnsiTheme="majorEastAsia" w:cs="Arial" w:hint="eastAsia"/>
          <w:b w:val="0"/>
          <w:color w:val="000000" w:themeColor="text1"/>
        </w:rPr>
        <w:t>(拍卖成交价 1%)</w:t>
      </w:r>
    </w:p>
    <w:p w14:paraId="1A93DB39"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Style w:val="aa"/>
        </w:rPr>
        <w:t>拍卖佣金由买受人承担支付，不计入拍卖成交价款内。拍卖成交的，买受</w:t>
      </w:r>
      <w:r>
        <w:rPr>
          <w:rFonts w:asciiTheme="majorEastAsia" w:eastAsiaTheme="majorEastAsia" w:hAnsiTheme="majorEastAsia" w:cs="Arial"/>
          <w:color w:val="000000" w:themeColor="text1"/>
        </w:rPr>
        <w:t>人须在成交3个工作日内向拍卖人支付拍卖佣金。拍卖佣金交款账户：</w:t>
      </w:r>
    </w:p>
    <w:p w14:paraId="354DE217"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收款单位：</w:t>
      </w:r>
      <w:r>
        <w:rPr>
          <w:rFonts w:asciiTheme="majorEastAsia" w:eastAsiaTheme="majorEastAsia" w:hAnsiTheme="majorEastAsia" w:cs="Arial"/>
          <w:color w:val="000000" w:themeColor="text1"/>
          <w:u w:val="single"/>
        </w:rPr>
        <w:t xml:space="preserve">金华市正得拍卖有限公司 </w:t>
      </w:r>
      <w:r>
        <w:rPr>
          <w:rFonts w:asciiTheme="majorEastAsia" w:eastAsiaTheme="majorEastAsia" w:hAnsiTheme="majorEastAsia" w:cs="Arial"/>
          <w:color w:val="000000" w:themeColor="text1"/>
        </w:rPr>
        <w:t xml:space="preserve">   </w:t>
      </w:r>
    </w:p>
    <w:p w14:paraId="07E751AB" w14:textId="77777777" w:rsidR="00977AB6" w:rsidRDefault="00507514">
      <w:pPr>
        <w:pStyle w:val="a9"/>
        <w:spacing w:beforeLines="50" w:before="156" w:beforeAutospacing="0" w:afterLines="50" w:after="156" w:afterAutospacing="0" w:line="320" w:lineRule="exact"/>
        <w:ind w:leftChars="-100" w:left="-210" w:rightChars="-100" w:right="-210"/>
        <w:rPr>
          <w:rStyle w:val="NormalCharacter"/>
          <w:rFonts w:asciiTheme="majorEastAsia" w:eastAsiaTheme="majorEastAsia" w:hAnsiTheme="majorEastAsia"/>
          <w:color w:val="000000" w:themeColor="text1"/>
          <w:u w:val="single"/>
        </w:rPr>
      </w:pPr>
      <w:r>
        <w:rPr>
          <w:rFonts w:asciiTheme="majorEastAsia" w:eastAsiaTheme="majorEastAsia" w:hAnsiTheme="majorEastAsia" w:cs="Arial"/>
          <w:color w:val="000000" w:themeColor="text1"/>
        </w:rPr>
        <w:t xml:space="preserve"> 开户银行：</w:t>
      </w:r>
      <w:r>
        <w:rPr>
          <w:rStyle w:val="NormalCharacter"/>
          <w:rFonts w:asciiTheme="majorEastAsia" w:eastAsiaTheme="majorEastAsia" w:hAnsiTheme="majorEastAsia"/>
          <w:color w:val="000000" w:themeColor="text1"/>
          <w:u w:val="single"/>
        </w:rPr>
        <w:t>中国银行金华市分行</w:t>
      </w:r>
    </w:p>
    <w:p w14:paraId="5034C145" w14:textId="77777777" w:rsidR="00977AB6" w:rsidRDefault="00507514">
      <w:pPr>
        <w:pStyle w:val="a9"/>
        <w:spacing w:beforeLines="50" w:before="156" w:beforeAutospacing="0" w:afterLines="50" w:after="156" w:afterAutospacing="0" w:line="320" w:lineRule="exact"/>
        <w:ind w:leftChars="-100" w:left="-210" w:rightChars="-100" w:right="-210" w:firstLineChars="100" w:firstLine="24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帐 号：</w:t>
      </w:r>
      <w:r>
        <w:rPr>
          <w:rStyle w:val="NormalCharacter"/>
          <w:rFonts w:asciiTheme="majorEastAsia" w:eastAsiaTheme="majorEastAsia" w:hAnsiTheme="majorEastAsia"/>
          <w:color w:val="000000" w:themeColor="text1"/>
          <w:u w:val="single"/>
        </w:rPr>
        <w:t>366258336701</w:t>
      </w:r>
    </w:p>
    <w:p w14:paraId="12E75E18"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七、标的移交</w:t>
      </w:r>
    </w:p>
    <w:p w14:paraId="5111730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1.拍卖成交后，买受人凭《拍卖成交确认书》及缴款凭证（拍卖成交款、履约保证金</w:t>
      </w:r>
      <w:r>
        <w:rPr>
          <w:rFonts w:asciiTheme="majorEastAsia" w:eastAsiaTheme="majorEastAsia" w:hAnsiTheme="majorEastAsia" w:cs="Arial" w:hint="eastAsia"/>
          <w:color w:val="000000" w:themeColor="text1"/>
        </w:rPr>
        <w:t>、</w:t>
      </w:r>
      <w:r>
        <w:rPr>
          <w:rFonts w:asciiTheme="majorEastAsia" w:eastAsiaTheme="majorEastAsia" w:hAnsiTheme="majorEastAsia" w:cs="Arial"/>
          <w:color w:val="000000" w:themeColor="text1"/>
        </w:rPr>
        <w:t>拍卖佣金）与委托方签订砂石料出让合同</w:t>
      </w:r>
      <w:r>
        <w:rPr>
          <w:rFonts w:asciiTheme="majorEastAsia" w:eastAsiaTheme="majorEastAsia" w:hAnsiTheme="majorEastAsia" w:cs="Arial" w:hint="eastAsia"/>
          <w:color w:val="000000" w:themeColor="text1"/>
        </w:rPr>
        <w:t>（签订时间等业主方通知）</w:t>
      </w:r>
      <w:r>
        <w:rPr>
          <w:rFonts w:asciiTheme="majorEastAsia" w:eastAsiaTheme="majorEastAsia" w:hAnsiTheme="majorEastAsia" w:cs="Arial"/>
          <w:color w:val="000000" w:themeColor="text1"/>
        </w:rPr>
        <w:t>按照委托人规定的时间进度和地点提取砂石料。</w:t>
      </w:r>
    </w:p>
    <w:p w14:paraId="482AACEE" w14:textId="025FC2E5" w:rsidR="00977AB6" w:rsidRPr="008936FD" w:rsidRDefault="00507514" w:rsidP="008936FD">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rPr>
      </w:pPr>
      <w:r>
        <w:rPr>
          <w:rFonts w:asciiTheme="majorEastAsia" w:eastAsiaTheme="majorEastAsia" w:hAnsiTheme="majorEastAsia" w:cs="Arial"/>
          <w:color w:val="000000" w:themeColor="text1"/>
        </w:rPr>
        <w:t>2.</w:t>
      </w:r>
      <w:r w:rsidRPr="008936FD">
        <w:rPr>
          <w:rFonts w:asciiTheme="majorEastAsia" w:eastAsiaTheme="majorEastAsia" w:hAnsiTheme="majorEastAsia" w:cs="Arial"/>
        </w:rPr>
        <w:t>提取砂石料时，买受人自行提供挖掘开采机械、运输车辆并承担所有的运输费用，</w:t>
      </w:r>
      <w:r w:rsidRPr="008936FD">
        <w:rPr>
          <w:rFonts w:asciiTheme="majorEastAsia" w:eastAsiaTheme="majorEastAsia" w:hAnsiTheme="majorEastAsia" w:cs="Arial" w:hint="eastAsia"/>
        </w:rPr>
        <w:t>自行安排外运（运输、场外堆放等费用自行解决）；</w:t>
      </w:r>
      <w:r w:rsidRPr="008936FD">
        <w:rPr>
          <w:rFonts w:asciiTheme="majorEastAsia" w:eastAsiaTheme="majorEastAsia" w:hAnsiTheme="majorEastAsia" w:cs="Arial"/>
        </w:rPr>
        <w:t>买受人提取砂石过程中的一切安全责任由买受人自行承担</w:t>
      </w:r>
      <w:r w:rsidRPr="008936FD">
        <w:rPr>
          <w:rFonts w:asciiTheme="majorEastAsia" w:eastAsiaTheme="majorEastAsia" w:hAnsiTheme="majorEastAsia" w:cs="Arial" w:hint="eastAsia"/>
        </w:rPr>
        <w:t>（</w:t>
      </w:r>
      <w:r w:rsidRPr="008936FD">
        <w:rPr>
          <w:rFonts w:asciiTheme="majorEastAsia" w:eastAsiaTheme="majorEastAsia" w:hAnsiTheme="majorEastAsia" w:cs="Arial"/>
        </w:rPr>
        <w:t>包括但不限于超载、超限责任、扬尘治理责任、运输车辆冲洗责任等）。</w:t>
      </w:r>
    </w:p>
    <w:p w14:paraId="2838F8C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八、买受人的违约责任</w:t>
      </w:r>
    </w:p>
    <w:p w14:paraId="2CADE89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如果买受人违约，买受人缴纳的竞买保证金、履约保证金及拍卖佣金，委托人和拍卖人有权不予退还，拍卖人根据《中华人民共和国拍卖法》的规定收回拍卖标的，经委托人同意后进行再次拍卖。拍卖标的再行拍卖的，原买受人应当支付第一次拍卖中本人及委托人应当支付的佣金，再行拍卖的价款低于前次拍卖价款的，违约买受人应补足差额。同时，委托人和拍卖人有权追究违约买受人的其它违约责任。</w:t>
      </w:r>
    </w:p>
    <w:p w14:paraId="26C0454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九、特别提示</w:t>
      </w:r>
    </w:p>
    <w:p w14:paraId="392E10D4"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lastRenderedPageBreak/>
        <w:t>鉴于拍卖是一种特殊的交易方式，敬请各位竞买人在竞价举牌时慎重从事，认真考虑自身需要和承受能力，三思而后行。拍卖活动应严格遵守拍卖人《拍卖规则》和本《竞买须知》，一经举牌和拍卖师落槌成交，拍卖当事人均不能反悔，否则将承担法律责任。</w:t>
      </w:r>
    </w:p>
    <w:p w14:paraId="374867AA"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b/>
          <w:color w:val="000000" w:themeColor="text1"/>
        </w:rPr>
      </w:pPr>
      <w:r>
        <w:rPr>
          <w:rFonts w:asciiTheme="majorEastAsia" w:eastAsiaTheme="majorEastAsia" w:hAnsiTheme="majorEastAsia" w:cs="Arial"/>
          <w:b/>
          <w:color w:val="000000" w:themeColor="text1"/>
        </w:rPr>
        <w:t>十、会场纪律</w:t>
      </w:r>
    </w:p>
    <w:p w14:paraId="6FBDA5A5"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参加拍卖会的全体人员必须服从本拍卖人的统一安排，保持会场的安静、严肃。在拍卖竞价中，竞买人必须服从拍卖师的决定。竞买人请勿将号牌交给陪同人员或他人随意举牌应价，否则，造成的后果由竞买人承担。如违反会场纪律，拍卖人有权予以制止，或拒绝其参加竞价，直至清退出场。如造成经济损失，还应承担赔偿责任。</w:t>
      </w:r>
    </w:p>
    <w:p w14:paraId="59889051"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十一、不可抗力</w:t>
      </w:r>
    </w:p>
    <w:p w14:paraId="67156A7C"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拍卖成交后如发生不可抗力事件，发生事件的一方应在事件发生后五日内书面通知对方，双方经过协商解决。</w:t>
      </w:r>
    </w:p>
    <w:p w14:paraId="3BA308F0"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竞买人须仔细阅读并遵守本《竞买须知》，一经签章认可，则应据此对自己在拍卖活动中的行为负完全的法律责任。</w:t>
      </w:r>
    </w:p>
    <w:p w14:paraId="789ABC9F" w14:textId="77777777" w:rsidR="00977AB6" w:rsidRDefault="00507514">
      <w:pPr>
        <w:pStyle w:val="a9"/>
        <w:spacing w:beforeLines="50" w:before="156" w:beforeAutospacing="0" w:afterLines="50" w:after="156" w:afterAutospacing="0" w:line="320" w:lineRule="exact"/>
        <w:ind w:leftChars="-100" w:left="-210" w:rightChars="-100" w:right="-210"/>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本须知未尽事宜以《</w:t>
      </w:r>
      <w:r>
        <w:rPr>
          <w:rFonts w:asciiTheme="majorEastAsia" w:eastAsiaTheme="majorEastAsia" w:hAnsiTheme="majorEastAsia" w:cs="Arial" w:hint="eastAsia"/>
          <w:color w:val="000000" w:themeColor="text1"/>
        </w:rPr>
        <w:t>金华市婺城新区核心区块停车场项目基坑开挖范围内普通</w:t>
      </w:r>
      <w:r>
        <w:rPr>
          <w:rFonts w:asciiTheme="majorEastAsia" w:eastAsiaTheme="majorEastAsia" w:hAnsiTheme="majorEastAsia" w:cs="Arial"/>
          <w:color w:val="000000" w:themeColor="text1"/>
        </w:rPr>
        <w:t>建筑用砂石矿</w:t>
      </w:r>
      <w:r>
        <w:rPr>
          <w:rFonts w:asciiTheme="majorEastAsia" w:eastAsiaTheme="majorEastAsia" w:hAnsiTheme="majorEastAsia" w:cs="Arial" w:hint="eastAsia"/>
          <w:color w:val="000000" w:themeColor="text1"/>
        </w:rPr>
        <w:t>出让合同</w:t>
      </w:r>
      <w:r>
        <w:rPr>
          <w:rFonts w:asciiTheme="majorEastAsia" w:eastAsiaTheme="majorEastAsia" w:hAnsiTheme="majorEastAsia" w:cs="Arial"/>
          <w:color w:val="000000" w:themeColor="text1"/>
        </w:rPr>
        <w:t>》为准。</w:t>
      </w:r>
    </w:p>
    <w:p w14:paraId="63430D01" w14:textId="77777777" w:rsidR="00977AB6"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1E56D946" w14:textId="77777777" w:rsidR="00977AB6" w:rsidRDefault="00507514">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委托单位：金华市</w:t>
      </w:r>
      <w:proofErr w:type="gramStart"/>
      <w:r>
        <w:rPr>
          <w:rFonts w:asciiTheme="majorEastAsia" w:eastAsiaTheme="majorEastAsia" w:hAnsiTheme="majorEastAsia" w:cs="Arial" w:hint="eastAsia"/>
          <w:color w:val="000000" w:themeColor="text1"/>
        </w:rPr>
        <w:t>婺</w:t>
      </w:r>
      <w:proofErr w:type="gramEnd"/>
      <w:r>
        <w:rPr>
          <w:rFonts w:asciiTheme="majorEastAsia" w:eastAsiaTheme="majorEastAsia" w:hAnsiTheme="majorEastAsia" w:cs="Arial" w:hint="eastAsia"/>
          <w:color w:val="000000" w:themeColor="text1"/>
        </w:rPr>
        <w:t xml:space="preserve">城新城区开发建设管理委员会  </w:t>
      </w:r>
    </w:p>
    <w:p w14:paraId="04DA1A37" w14:textId="77777777" w:rsidR="00977AB6"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3E2C63E8" w14:textId="77777777" w:rsidR="00977AB6" w:rsidRDefault="00507514">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r>
        <w:rPr>
          <w:rFonts w:asciiTheme="majorEastAsia" w:eastAsiaTheme="majorEastAsia" w:hAnsiTheme="majorEastAsia" w:cs="Arial" w:hint="eastAsia"/>
          <w:color w:val="000000" w:themeColor="text1"/>
        </w:rPr>
        <w:t xml:space="preserve"> 拍卖单位：金华市正得拍卖有限公司</w:t>
      </w:r>
    </w:p>
    <w:p w14:paraId="48019066" w14:textId="77777777" w:rsidR="00977AB6" w:rsidRDefault="00977AB6">
      <w:pPr>
        <w:pStyle w:val="a9"/>
        <w:spacing w:beforeLines="50" w:before="156" w:beforeAutospacing="0" w:afterLines="50" w:after="156" w:afterAutospacing="0" w:line="320" w:lineRule="exact"/>
        <w:ind w:leftChars="-100" w:left="6510" w:rightChars="-100" w:right="-210" w:hangingChars="2800" w:hanging="6720"/>
        <w:rPr>
          <w:rFonts w:asciiTheme="majorEastAsia" w:eastAsiaTheme="majorEastAsia" w:hAnsiTheme="majorEastAsia" w:cs="Arial"/>
          <w:color w:val="000000" w:themeColor="text1"/>
        </w:rPr>
      </w:pPr>
    </w:p>
    <w:p w14:paraId="7F0D8014" w14:textId="3776FE69" w:rsidR="00977AB6" w:rsidRDefault="00507514">
      <w:pPr>
        <w:pStyle w:val="a9"/>
        <w:spacing w:beforeLines="50" w:before="156" w:beforeAutospacing="0" w:afterLines="50" w:after="156" w:afterAutospacing="0" w:line="320" w:lineRule="exact"/>
        <w:ind w:leftChars="-100" w:left="6510" w:rightChars="-100" w:right="-210" w:hangingChars="2800" w:hanging="6720"/>
        <w:jc w:val="right"/>
        <w:rPr>
          <w:rFonts w:asciiTheme="majorEastAsia" w:eastAsiaTheme="majorEastAsia" w:hAnsiTheme="majorEastAsia" w:cs="Arial"/>
          <w:color w:val="000000" w:themeColor="text1"/>
        </w:rPr>
      </w:pPr>
      <w:r>
        <w:rPr>
          <w:rFonts w:asciiTheme="majorEastAsia" w:eastAsiaTheme="majorEastAsia" w:hAnsiTheme="majorEastAsia" w:cs="Arial"/>
          <w:color w:val="000000" w:themeColor="text1"/>
        </w:rPr>
        <w:t>202</w:t>
      </w:r>
      <w:r>
        <w:rPr>
          <w:rFonts w:asciiTheme="majorEastAsia" w:eastAsiaTheme="majorEastAsia" w:hAnsiTheme="majorEastAsia" w:cs="Arial" w:hint="eastAsia"/>
          <w:color w:val="000000" w:themeColor="text1"/>
        </w:rPr>
        <w:t>2</w:t>
      </w:r>
      <w:r>
        <w:rPr>
          <w:rFonts w:asciiTheme="majorEastAsia" w:eastAsiaTheme="majorEastAsia" w:hAnsiTheme="majorEastAsia" w:cs="Arial"/>
          <w:color w:val="000000" w:themeColor="text1"/>
        </w:rPr>
        <w:t xml:space="preserve">年 </w:t>
      </w:r>
      <w:r w:rsidR="008936FD">
        <w:rPr>
          <w:rFonts w:asciiTheme="majorEastAsia" w:eastAsiaTheme="majorEastAsia" w:hAnsiTheme="majorEastAsia" w:cs="Arial"/>
          <w:color w:val="000000" w:themeColor="text1"/>
        </w:rPr>
        <w:t>8</w:t>
      </w:r>
      <w:r>
        <w:rPr>
          <w:rFonts w:asciiTheme="majorEastAsia" w:eastAsiaTheme="majorEastAsia" w:hAnsiTheme="majorEastAsia" w:cs="Arial"/>
          <w:color w:val="000000" w:themeColor="text1"/>
        </w:rPr>
        <w:t xml:space="preserve"> 月</w:t>
      </w:r>
      <w:r w:rsidR="008936FD">
        <w:rPr>
          <w:rFonts w:asciiTheme="majorEastAsia" w:eastAsiaTheme="majorEastAsia" w:hAnsiTheme="majorEastAsia" w:cs="Arial" w:hint="eastAsia"/>
          <w:color w:val="000000" w:themeColor="text1"/>
        </w:rPr>
        <w:t>1</w:t>
      </w:r>
      <w:r w:rsidR="008936FD">
        <w:rPr>
          <w:rFonts w:asciiTheme="majorEastAsia" w:eastAsiaTheme="majorEastAsia" w:hAnsiTheme="majorEastAsia" w:cs="Arial"/>
          <w:color w:val="000000" w:themeColor="text1"/>
        </w:rPr>
        <w:t>8</w:t>
      </w:r>
      <w:r>
        <w:rPr>
          <w:rFonts w:asciiTheme="majorEastAsia" w:eastAsiaTheme="majorEastAsia" w:hAnsiTheme="majorEastAsia" w:cs="Arial" w:hint="eastAsia"/>
          <w:color w:val="000000" w:themeColor="text1"/>
        </w:rPr>
        <w:t xml:space="preserve"> </w:t>
      </w:r>
      <w:r>
        <w:rPr>
          <w:rFonts w:asciiTheme="majorEastAsia" w:eastAsiaTheme="majorEastAsia" w:hAnsiTheme="majorEastAsia" w:cs="Arial"/>
          <w:color w:val="000000" w:themeColor="text1"/>
        </w:rPr>
        <w:t>日</w:t>
      </w:r>
    </w:p>
    <w:sectPr w:rsidR="00977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032A" w14:textId="77777777" w:rsidR="00404145" w:rsidRDefault="00404145" w:rsidP="00DE05E5">
      <w:r>
        <w:separator/>
      </w:r>
    </w:p>
  </w:endnote>
  <w:endnote w:type="continuationSeparator" w:id="0">
    <w:p w14:paraId="385F6F52" w14:textId="77777777" w:rsidR="00404145" w:rsidRDefault="00404145" w:rsidP="00DE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DC1C" w14:textId="77777777" w:rsidR="00404145" w:rsidRDefault="00404145" w:rsidP="00DE05E5">
      <w:r>
        <w:separator/>
      </w:r>
    </w:p>
  </w:footnote>
  <w:footnote w:type="continuationSeparator" w:id="0">
    <w:p w14:paraId="6AABB7F9" w14:textId="77777777" w:rsidR="00404145" w:rsidRDefault="00404145" w:rsidP="00DE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F6A4"/>
    <w:multiLevelType w:val="singleLevel"/>
    <w:tmpl w:val="1158F6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GFiMzg3YTNjN2ZjMTFkN2UzYzQzM2YwMjhiMTgyNmEifQ=="/>
  </w:docVars>
  <w:rsids>
    <w:rsidRoot w:val="00AD007D"/>
    <w:rsid w:val="000008BC"/>
    <w:rsid w:val="00002FA9"/>
    <w:rsid w:val="0001066C"/>
    <w:rsid w:val="00011A55"/>
    <w:rsid w:val="0002063B"/>
    <w:rsid w:val="00030569"/>
    <w:rsid w:val="00033E2D"/>
    <w:rsid w:val="00034535"/>
    <w:rsid w:val="00036BE7"/>
    <w:rsid w:val="0003713A"/>
    <w:rsid w:val="00037489"/>
    <w:rsid w:val="000419ED"/>
    <w:rsid w:val="0004701A"/>
    <w:rsid w:val="0007385C"/>
    <w:rsid w:val="00076D53"/>
    <w:rsid w:val="00097867"/>
    <w:rsid w:val="000A4714"/>
    <w:rsid w:val="000B0528"/>
    <w:rsid w:val="000B09AA"/>
    <w:rsid w:val="000D33B5"/>
    <w:rsid w:val="000F139D"/>
    <w:rsid w:val="000F3D43"/>
    <w:rsid w:val="000F4243"/>
    <w:rsid w:val="001019EE"/>
    <w:rsid w:val="00105340"/>
    <w:rsid w:val="00117C4F"/>
    <w:rsid w:val="00122F57"/>
    <w:rsid w:val="001237CB"/>
    <w:rsid w:val="00124999"/>
    <w:rsid w:val="00146149"/>
    <w:rsid w:val="0015305E"/>
    <w:rsid w:val="00161DF8"/>
    <w:rsid w:val="001649F9"/>
    <w:rsid w:val="00166B88"/>
    <w:rsid w:val="00170935"/>
    <w:rsid w:val="00174DDB"/>
    <w:rsid w:val="00175AC4"/>
    <w:rsid w:val="001779E3"/>
    <w:rsid w:val="001806F5"/>
    <w:rsid w:val="001843A9"/>
    <w:rsid w:val="00185A40"/>
    <w:rsid w:val="00187829"/>
    <w:rsid w:val="001900BD"/>
    <w:rsid w:val="001912B9"/>
    <w:rsid w:val="00192183"/>
    <w:rsid w:val="00193441"/>
    <w:rsid w:val="00194B52"/>
    <w:rsid w:val="00194F77"/>
    <w:rsid w:val="001950B7"/>
    <w:rsid w:val="001A23E2"/>
    <w:rsid w:val="001B18DA"/>
    <w:rsid w:val="001B2887"/>
    <w:rsid w:val="001C5D9E"/>
    <w:rsid w:val="001D1DAB"/>
    <w:rsid w:val="001E0D65"/>
    <w:rsid w:val="001E431B"/>
    <w:rsid w:val="001E57A8"/>
    <w:rsid w:val="001E763D"/>
    <w:rsid w:val="001F27A7"/>
    <w:rsid w:val="00215400"/>
    <w:rsid w:val="002168D8"/>
    <w:rsid w:val="00221B8A"/>
    <w:rsid w:val="00224AA8"/>
    <w:rsid w:val="00225625"/>
    <w:rsid w:val="00225CF4"/>
    <w:rsid w:val="00227893"/>
    <w:rsid w:val="00233D60"/>
    <w:rsid w:val="00233F53"/>
    <w:rsid w:val="002421C8"/>
    <w:rsid w:val="00244CDF"/>
    <w:rsid w:val="0024581D"/>
    <w:rsid w:val="00246856"/>
    <w:rsid w:val="00275800"/>
    <w:rsid w:val="00283FA0"/>
    <w:rsid w:val="002847CA"/>
    <w:rsid w:val="00293C8F"/>
    <w:rsid w:val="002A4A9F"/>
    <w:rsid w:val="002A4FA8"/>
    <w:rsid w:val="002A6B7D"/>
    <w:rsid w:val="002B6BE5"/>
    <w:rsid w:val="002B6D6E"/>
    <w:rsid w:val="002C070B"/>
    <w:rsid w:val="002C211C"/>
    <w:rsid w:val="002C37DB"/>
    <w:rsid w:val="002D2E83"/>
    <w:rsid w:val="002E0323"/>
    <w:rsid w:val="002E3343"/>
    <w:rsid w:val="002E373C"/>
    <w:rsid w:val="002F4A8B"/>
    <w:rsid w:val="003000AA"/>
    <w:rsid w:val="00305A13"/>
    <w:rsid w:val="0031354F"/>
    <w:rsid w:val="003243B5"/>
    <w:rsid w:val="00330D87"/>
    <w:rsid w:val="00332928"/>
    <w:rsid w:val="00334A99"/>
    <w:rsid w:val="0033799D"/>
    <w:rsid w:val="003433BE"/>
    <w:rsid w:val="003465C8"/>
    <w:rsid w:val="003538B9"/>
    <w:rsid w:val="00364417"/>
    <w:rsid w:val="003669AB"/>
    <w:rsid w:val="00376FA4"/>
    <w:rsid w:val="0038707B"/>
    <w:rsid w:val="00395491"/>
    <w:rsid w:val="00397CB6"/>
    <w:rsid w:val="003A6746"/>
    <w:rsid w:val="003B5A0D"/>
    <w:rsid w:val="003C56D1"/>
    <w:rsid w:val="003D0CCD"/>
    <w:rsid w:val="003D1C32"/>
    <w:rsid w:val="003D5C14"/>
    <w:rsid w:val="003E3B63"/>
    <w:rsid w:val="003F07F6"/>
    <w:rsid w:val="004009EA"/>
    <w:rsid w:val="00403E34"/>
    <w:rsid w:val="00404145"/>
    <w:rsid w:val="00407C8C"/>
    <w:rsid w:val="00421605"/>
    <w:rsid w:val="004265B1"/>
    <w:rsid w:val="00440945"/>
    <w:rsid w:val="004451BF"/>
    <w:rsid w:val="0046379D"/>
    <w:rsid w:val="00464A10"/>
    <w:rsid w:val="00487022"/>
    <w:rsid w:val="004876E9"/>
    <w:rsid w:val="004A0225"/>
    <w:rsid w:val="004A3259"/>
    <w:rsid w:val="004A3F1A"/>
    <w:rsid w:val="004A55A2"/>
    <w:rsid w:val="004A6E90"/>
    <w:rsid w:val="004B3BEE"/>
    <w:rsid w:val="004E0643"/>
    <w:rsid w:val="004F4D5E"/>
    <w:rsid w:val="00502568"/>
    <w:rsid w:val="00507514"/>
    <w:rsid w:val="0051487E"/>
    <w:rsid w:val="005270DC"/>
    <w:rsid w:val="005303C3"/>
    <w:rsid w:val="00531A8C"/>
    <w:rsid w:val="00533914"/>
    <w:rsid w:val="00534570"/>
    <w:rsid w:val="00537B67"/>
    <w:rsid w:val="00542C1D"/>
    <w:rsid w:val="00551A30"/>
    <w:rsid w:val="005559C2"/>
    <w:rsid w:val="0056098A"/>
    <w:rsid w:val="00566C14"/>
    <w:rsid w:val="005915F5"/>
    <w:rsid w:val="00595373"/>
    <w:rsid w:val="005977D2"/>
    <w:rsid w:val="005A299D"/>
    <w:rsid w:val="005A6F53"/>
    <w:rsid w:val="005C45CA"/>
    <w:rsid w:val="005D6E24"/>
    <w:rsid w:val="005E047B"/>
    <w:rsid w:val="005E4242"/>
    <w:rsid w:val="005E6C1B"/>
    <w:rsid w:val="005F4FBE"/>
    <w:rsid w:val="005F6B3A"/>
    <w:rsid w:val="005F7D08"/>
    <w:rsid w:val="006011A9"/>
    <w:rsid w:val="00623431"/>
    <w:rsid w:val="00635ACB"/>
    <w:rsid w:val="00641D20"/>
    <w:rsid w:val="0065177C"/>
    <w:rsid w:val="006529F7"/>
    <w:rsid w:val="006823DA"/>
    <w:rsid w:val="00684F6B"/>
    <w:rsid w:val="00685BDD"/>
    <w:rsid w:val="0068763A"/>
    <w:rsid w:val="00697A30"/>
    <w:rsid w:val="006A47E6"/>
    <w:rsid w:val="006A4B3C"/>
    <w:rsid w:val="006B3E9E"/>
    <w:rsid w:val="006C35C2"/>
    <w:rsid w:val="006D0CDA"/>
    <w:rsid w:val="006D6B76"/>
    <w:rsid w:val="006E22B8"/>
    <w:rsid w:val="006E3C70"/>
    <w:rsid w:val="006F0F07"/>
    <w:rsid w:val="006F222D"/>
    <w:rsid w:val="00711CF6"/>
    <w:rsid w:val="00712901"/>
    <w:rsid w:val="00714EA5"/>
    <w:rsid w:val="0071552D"/>
    <w:rsid w:val="00721433"/>
    <w:rsid w:val="0073148E"/>
    <w:rsid w:val="00734FC1"/>
    <w:rsid w:val="00743D78"/>
    <w:rsid w:val="00745946"/>
    <w:rsid w:val="00762EC1"/>
    <w:rsid w:val="00764F0B"/>
    <w:rsid w:val="00771206"/>
    <w:rsid w:val="00777800"/>
    <w:rsid w:val="007830E9"/>
    <w:rsid w:val="00783D5B"/>
    <w:rsid w:val="007841C4"/>
    <w:rsid w:val="00797B23"/>
    <w:rsid w:val="007A0952"/>
    <w:rsid w:val="007B71DC"/>
    <w:rsid w:val="007C1A62"/>
    <w:rsid w:val="007C3995"/>
    <w:rsid w:val="007C7ABB"/>
    <w:rsid w:val="007D7869"/>
    <w:rsid w:val="007E1CC4"/>
    <w:rsid w:val="00802628"/>
    <w:rsid w:val="00815EE1"/>
    <w:rsid w:val="0082576E"/>
    <w:rsid w:val="008258F1"/>
    <w:rsid w:val="00825CCB"/>
    <w:rsid w:val="00827642"/>
    <w:rsid w:val="00831E90"/>
    <w:rsid w:val="00840C09"/>
    <w:rsid w:val="00842841"/>
    <w:rsid w:val="00844CCA"/>
    <w:rsid w:val="00844E2A"/>
    <w:rsid w:val="0086289E"/>
    <w:rsid w:val="00867F28"/>
    <w:rsid w:val="00877D70"/>
    <w:rsid w:val="008867AC"/>
    <w:rsid w:val="00890730"/>
    <w:rsid w:val="00891477"/>
    <w:rsid w:val="00891D7E"/>
    <w:rsid w:val="008936FD"/>
    <w:rsid w:val="008A26D5"/>
    <w:rsid w:val="008A26D6"/>
    <w:rsid w:val="008A4CDB"/>
    <w:rsid w:val="008B11A3"/>
    <w:rsid w:val="008B5C39"/>
    <w:rsid w:val="008B5D93"/>
    <w:rsid w:val="008C03F2"/>
    <w:rsid w:val="008C6A44"/>
    <w:rsid w:val="008E3CDE"/>
    <w:rsid w:val="008E603C"/>
    <w:rsid w:val="00901769"/>
    <w:rsid w:val="00917D1A"/>
    <w:rsid w:val="00922472"/>
    <w:rsid w:val="00936CE2"/>
    <w:rsid w:val="00945F92"/>
    <w:rsid w:val="00947543"/>
    <w:rsid w:val="009648B8"/>
    <w:rsid w:val="00971D50"/>
    <w:rsid w:val="00977AB6"/>
    <w:rsid w:val="009858AF"/>
    <w:rsid w:val="00990D6B"/>
    <w:rsid w:val="009A057E"/>
    <w:rsid w:val="009A3F58"/>
    <w:rsid w:val="009A4EF0"/>
    <w:rsid w:val="009B47E0"/>
    <w:rsid w:val="009C4950"/>
    <w:rsid w:val="009C701A"/>
    <w:rsid w:val="009E143C"/>
    <w:rsid w:val="009E58C7"/>
    <w:rsid w:val="009E5DED"/>
    <w:rsid w:val="009F43A7"/>
    <w:rsid w:val="009F5B31"/>
    <w:rsid w:val="009F6A8C"/>
    <w:rsid w:val="00A0576D"/>
    <w:rsid w:val="00A10BE5"/>
    <w:rsid w:val="00A23A62"/>
    <w:rsid w:val="00A23E2A"/>
    <w:rsid w:val="00A27869"/>
    <w:rsid w:val="00A30711"/>
    <w:rsid w:val="00A3086E"/>
    <w:rsid w:val="00A318CA"/>
    <w:rsid w:val="00A343A4"/>
    <w:rsid w:val="00A57F98"/>
    <w:rsid w:val="00A616E6"/>
    <w:rsid w:val="00A63FB6"/>
    <w:rsid w:val="00A67C68"/>
    <w:rsid w:val="00A72F0D"/>
    <w:rsid w:val="00A73D0E"/>
    <w:rsid w:val="00A76B04"/>
    <w:rsid w:val="00A87235"/>
    <w:rsid w:val="00A93A48"/>
    <w:rsid w:val="00A940B8"/>
    <w:rsid w:val="00AA5911"/>
    <w:rsid w:val="00AC56F7"/>
    <w:rsid w:val="00AD007D"/>
    <w:rsid w:val="00AD08B1"/>
    <w:rsid w:val="00AD1CFA"/>
    <w:rsid w:val="00AD7031"/>
    <w:rsid w:val="00AE3E80"/>
    <w:rsid w:val="00AE538B"/>
    <w:rsid w:val="00AF153E"/>
    <w:rsid w:val="00AF15C9"/>
    <w:rsid w:val="00AF3BE4"/>
    <w:rsid w:val="00AF6471"/>
    <w:rsid w:val="00B07CB6"/>
    <w:rsid w:val="00B1630B"/>
    <w:rsid w:val="00B202F0"/>
    <w:rsid w:val="00B24BAC"/>
    <w:rsid w:val="00B36617"/>
    <w:rsid w:val="00B46D92"/>
    <w:rsid w:val="00B50600"/>
    <w:rsid w:val="00B51B39"/>
    <w:rsid w:val="00B61603"/>
    <w:rsid w:val="00B65704"/>
    <w:rsid w:val="00B7371B"/>
    <w:rsid w:val="00B76CA6"/>
    <w:rsid w:val="00B82DE6"/>
    <w:rsid w:val="00B850C3"/>
    <w:rsid w:val="00B86A60"/>
    <w:rsid w:val="00B90DB0"/>
    <w:rsid w:val="00B97246"/>
    <w:rsid w:val="00BA2465"/>
    <w:rsid w:val="00BA714B"/>
    <w:rsid w:val="00BD5068"/>
    <w:rsid w:val="00BD5E52"/>
    <w:rsid w:val="00BE40EB"/>
    <w:rsid w:val="00BE5457"/>
    <w:rsid w:val="00BF2B45"/>
    <w:rsid w:val="00BF370C"/>
    <w:rsid w:val="00BF3B68"/>
    <w:rsid w:val="00BF6D09"/>
    <w:rsid w:val="00BF7DBC"/>
    <w:rsid w:val="00C04135"/>
    <w:rsid w:val="00C06425"/>
    <w:rsid w:val="00C131C8"/>
    <w:rsid w:val="00C205BC"/>
    <w:rsid w:val="00C21D96"/>
    <w:rsid w:val="00C26710"/>
    <w:rsid w:val="00C34FC2"/>
    <w:rsid w:val="00C40103"/>
    <w:rsid w:val="00C53064"/>
    <w:rsid w:val="00C65945"/>
    <w:rsid w:val="00C66212"/>
    <w:rsid w:val="00C668A0"/>
    <w:rsid w:val="00C76782"/>
    <w:rsid w:val="00C8531C"/>
    <w:rsid w:val="00C902AE"/>
    <w:rsid w:val="00C92FAB"/>
    <w:rsid w:val="00CA6D6C"/>
    <w:rsid w:val="00CF5304"/>
    <w:rsid w:val="00CF6BE2"/>
    <w:rsid w:val="00CF79BD"/>
    <w:rsid w:val="00D07E1B"/>
    <w:rsid w:val="00D27FF4"/>
    <w:rsid w:val="00D34300"/>
    <w:rsid w:val="00D35326"/>
    <w:rsid w:val="00D40143"/>
    <w:rsid w:val="00D4328A"/>
    <w:rsid w:val="00D468A7"/>
    <w:rsid w:val="00D5004B"/>
    <w:rsid w:val="00D5173A"/>
    <w:rsid w:val="00D600AD"/>
    <w:rsid w:val="00D75E4C"/>
    <w:rsid w:val="00D82525"/>
    <w:rsid w:val="00D851D8"/>
    <w:rsid w:val="00D87446"/>
    <w:rsid w:val="00D9069E"/>
    <w:rsid w:val="00D906E5"/>
    <w:rsid w:val="00D9524B"/>
    <w:rsid w:val="00DA0E70"/>
    <w:rsid w:val="00DA210D"/>
    <w:rsid w:val="00DA450F"/>
    <w:rsid w:val="00DA5890"/>
    <w:rsid w:val="00DB04BE"/>
    <w:rsid w:val="00DB59E0"/>
    <w:rsid w:val="00DB7C1A"/>
    <w:rsid w:val="00DC2BB7"/>
    <w:rsid w:val="00DD59F9"/>
    <w:rsid w:val="00DE05E5"/>
    <w:rsid w:val="00DE345D"/>
    <w:rsid w:val="00DE7219"/>
    <w:rsid w:val="00DF2F5E"/>
    <w:rsid w:val="00DF4926"/>
    <w:rsid w:val="00E05874"/>
    <w:rsid w:val="00E06226"/>
    <w:rsid w:val="00E108F6"/>
    <w:rsid w:val="00E10DEF"/>
    <w:rsid w:val="00E171EB"/>
    <w:rsid w:val="00E22DC1"/>
    <w:rsid w:val="00E23691"/>
    <w:rsid w:val="00E2588F"/>
    <w:rsid w:val="00E55521"/>
    <w:rsid w:val="00E60AA9"/>
    <w:rsid w:val="00E65A0C"/>
    <w:rsid w:val="00E70835"/>
    <w:rsid w:val="00E72F75"/>
    <w:rsid w:val="00E8362A"/>
    <w:rsid w:val="00E863CD"/>
    <w:rsid w:val="00E87015"/>
    <w:rsid w:val="00E87D6E"/>
    <w:rsid w:val="00E91C60"/>
    <w:rsid w:val="00E979E1"/>
    <w:rsid w:val="00EB5B73"/>
    <w:rsid w:val="00EC470A"/>
    <w:rsid w:val="00ED0205"/>
    <w:rsid w:val="00ED0A48"/>
    <w:rsid w:val="00ED56A1"/>
    <w:rsid w:val="00EF27B1"/>
    <w:rsid w:val="00EF2B4E"/>
    <w:rsid w:val="00EF703C"/>
    <w:rsid w:val="00EF768F"/>
    <w:rsid w:val="00F02431"/>
    <w:rsid w:val="00F02FAD"/>
    <w:rsid w:val="00F049FE"/>
    <w:rsid w:val="00F13FE1"/>
    <w:rsid w:val="00F14D23"/>
    <w:rsid w:val="00F34206"/>
    <w:rsid w:val="00F3529E"/>
    <w:rsid w:val="00F37D33"/>
    <w:rsid w:val="00F43C22"/>
    <w:rsid w:val="00F6348A"/>
    <w:rsid w:val="00F6411A"/>
    <w:rsid w:val="00F74264"/>
    <w:rsid w:val="00F76C72"/>
    <w:rsid w:val="00F833BF"/>
    <w:rsid w:val="00F96266"/>
    <w:rsid w:val="00F97BE2"/>
    <w:rsid w:val="00FA32E4"/>
    <w:rsid w:val="00FA33EB"/>
    <w:rsid w:val="00FA3B00"/>
    <w:rsid w:val="00FA3DA4"/>
    <w:rsid w:val="00FA70E9"/>
    <w:rsid w:val="00FB7055"/>
    <w:rsid w:val="00FC0D3A"/>
    <w:rsid w:val="00FC3EE2"/>
    <w:rsid w:val="00FC5B0D"/>
    <w:rsid w:val="00FC7DB7"/>
    <w:rsid w:val="00FE126C"/>
    <w:rsid w:val="00FE6EC9"/>
    <w:rsid w:val="00FF3A9F"/>
    <w:rsid w:val="00FF3E36"/>
    <w:rsid w:val="00FF7B65"/>
    <w:rsid w:val="04493016"/>
    <w:rsid w:val="07763AA4"/>
    <w:rsid w:val="1B16367A"/>
    <w:rsid w:val="25371D1D"/>
    <w:rsid w:val="28E52DBC"/>
    <w:rsid w:val="2C225443"/>
    <w:rsid w:val="2D0C312C"/>
    <w:rsid w:val="32792989"/>
    <w:rsid w:val="344E2CD2"/>
    <w:rsid w:val="385C1353"/>
    <w:rsid w:val="3FB86513"/>
    <w:rsid w:val="44C92D88"/>
    <w:rsid w:val="514E2DA1"/>
    <w:rsid w:val="52B94C58"/>
    <w:rsid w:val="534E0725"/>
    <w:rsid w:val="55432278"/>
    <w:rsid w:val="59741916"/>
    <w:rsid w:val="5EF239BB"/>
    <w:rsid w:val="5F230DA1"/>
    <w:rsid w:val="6E39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A096"/>
  <w15:docId w15:val="{9E70DD62-8341-4DED-AA0B-DC95C472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8"/>
      <w:szCs w:val="28"/>
      <w:lang w:val="zh-CN" w:bidi="zh-CN"/>
    </w:rPr>
  </w:style>
  <w:style w:type="paragraph" w:styleId="a4">
    <w:name w:val="Body Text Indent"/>
    <w:basedOn w:val="a"/>
    <w:qFormat/>
    <w:pPr>
      <w:ind w:firstLineChars="192" w:firstLine="538"/>
    </w:pPr>
    <w:rPr>
      <w:sz w:val="2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NormalCharacter">
    <w:name w:val="NormalCharacter"/>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TableParagraph">
    <w:name w:val="Table Paragraph"/>
    <w:basedOn w:val="a"/>
    <w:uiPriority w:val="1"/>
    <w:qFormat/>
    <w:rPr>
      <w:rFonts w:ascii="Times New Roman" w:eastAsia="Times New Roman" w:hAnsi="Times New Roman" w:cs="Times New Roman"/>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654</Words>
  <Characters>3731</Characters>
  <Application>Microsoft Office Word</Application>
  <DocSecurity>0</DocSecurity>
  <Lines>31</Lines>
  <Paragraphs>8</Paragraphs>
  <ScaleCrop>false</ScaleCrop>
  <Company>P R 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9</cp:revision>
  <cp:lastPrinted>2022-06-22T03:02:00Z</cp:lastPrinted>
  <dcterms:created xsi:type="dcterms:W3CDTF">2022-07-20T02:36:00Z</dcterms:created>
  <dcterms:modified xsi:type="dcterms:W3CDTF">2022-08-06T01:15:00Z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23DC75D4D5724489A10902858970C1A0</vt:lpwstr>
  </property>
</Properties>
</file>