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/>
          <w:b/>
          <w:bCs/>
          <w:sz w:val="32"/>
          <w:szCs w:val="40"/>
        </w:rPr>
      </w:pPr>
    </w:p>
    <w:p>
      <w:pPr>
        <w:spacing w:line="360" w:lineRule="auto"/>
        <w:jc w:val="both"/>
        <w:rPr>
          <w:rFonts w:hint="eastAsia"/>
          <w:b/>
          <w:bCs/>
          <w:sz w:val="32"/>
          <w:szCs w:val="40"/>
        </w:rPr>
      </w:pPr>
    </w:p>
    <w:p>
      <w:pPr>
        <w:spacing w:line="360" w:lineRule="auto"/>
        <w:jc w:val="both"/>
        <w:rPr>
          <w:rFonts w:hint="eastAsia"/>
          <w:b/>
          <w:bCs/>
          <w:sz w:val="32"/>
          <w:szCs w:val="40"/>
        </w:rPr>
      </w:pPr>
    </w:p>
    <w:p>
      <w:pPr>
        <w:spacing w:line="360" w:lineRule="auto"/>
        <w:jc w:val="center"/>
        <w:rPr>
          <w:rFonts w:hint="eastAsia"/>
          <w:b/>
          <w:bCs/>
          <w:sz w:val="32"/>
          <w:szCs w:val="40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52"/>
          <w:szCs w:val="72"/>
        </w:rPr>
      </w:pPr>
      <w:r>
        <w:rPr>
          <w:rFonts w:hint="eastAsia" w:ascii="宋体" w:hAnsi="宋体" w:eastAsia="宋体" w:cs="宋体"/>
          <w:b/>
          <w:bCs/>
          <w:sz w:val="52"/>
          <w:szCs w:val="72"/>
        </w:rPr>
        <w:t>金华市限额以下工程交易在线应用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8"/>
          <w:szCs w:val="56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8"/>
          <w:szCs w:val="56"/>
        </w:rPr>
      </w:pPr>
      <w:r>
        <w:rPr>
          <w:rFonts w:hint="eastAsia" w:ascii="宋体" w:hAnsi="宋体" w:eastAsia="宋体" w:cs="宋体"/>
          <w:b/>
          <w:bCs/>
          <w:sz w:val="48"/>
          <w:szCs w:val="56"/>
          <w:lang w:val="en-US" w:eastAsia="zh-CN"/>
        </w:rPr>
        <w:t>招标人/代理</w:t>
      </w:r>
      <w:r>
        <w:rPr>
          <w:rFonts w:hint="eastAsia" w:ascii="宋体" w:hAnsi="宋体" w:eastAsia="宋体" w:cs="宋体"/>
          <w:b/>
          <w:bCs/>
          <w:sz w:val="48"/>
          <w:szCs w:val="56"/>
        </w:rPr>
        <w:t>操作手册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40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40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40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32"/>
          <w:szCs w:val="40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40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32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eastAsia="zh-CN"/>
        </w:rPr>
        <w:drawing>
          <wp:inline distT="0" distB="0" distL="114300" distR="114300">
            <wp:extent cx="5270500" cy="821055"/>
            <wp:effectExtent l="0" t="0" r="6350" b="17145"/>
            <wp:docPr id="4" name="图片 4" descr="数字交易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数字交易logo2"/>
                    <pic:cNvPicPr>
                      <a:picLocks noChangeAspect="1"/>
                    </pic:cNvPicPr>
                  </pic:nvPicPr>
                  <pic:blipFill>
                    <a:blip r:embed="rId9"/>
                    <a:srcRect t="30712" b="410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40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  <w:t>广联达科技股份有限公司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  <w:t>2022 年 5 月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sdt>
      <w:sdtPr>
        <w:rPr>
          <w:rFonts w:ascii="宋体" w:hAnsi="宋体" w:eastAsia="宋体" w:cstheme="minorBidi"/>
          <w:b/>
          <w:bCs/>
          <w:kern w:val="2"/>
          <w:sz w:val="24"/>
          <w:szCs w:val="32"/>
          <w:lang w:val="en-US" w:eastAsia="zh-CN" w:bidi="ar-SA"/>
        </w:rPr>
        <w:id w:val="14747346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b/>
          <w:bCs/>
          <w:kern w:val="2"/>
          <w:sz w:val="24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24"/>
              <w:szCs w:val="32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/>
              <w:bCs/>
              <w:sz w:val="32"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/>
              <w:bCs/>
              <w:sz w:val="32"/>
              <w:szCs w:val="40"/>
              <w:lang w:eastAsia="zh-CN"/>
            </w:rPr>
            <w:instrText xml:space="preserve">TOC \o "1-2" \h \u </w:instrText>
          </w:r>
          <w:r>
            <w:rPr>
              <w:rFonts w:hint="eastAsia" w:eastAsiaTheme="minorEastAsia"/>
              <w:b/>
              <w:bCs/>
              <w:sz w:val="32"/>
              <w:szCs w:val="40"/>
              <w:lang w:eastAsia="zh-CN"/>
            </w:rPr>
            <w:fldChar w:fldCharType="separate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_Toc997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</w:rPr>
            <w:t xml:space="preserve">一、 </w:t>
          </w:r>
          <w:r>
            <w:t>编写目的</w:t>
          </w:r>
          <w:r>
            <w:tab/>
          </w:r>
          <w:r>
            <w:fldChar w:fldCharType="begin"/>
          </w:r>
          <w:r>
            <w:instrText xml:space="preserve"> PAGEREF _Toc997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_Toc29828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业务流程图</w:t>
          </w:r>
          <w:r>
            <w:tab/>
          </w:r>
          <w:r>
            <w:fldChar w:fldCharType="begin"/>
          </w:r>
          <w:r>
            <w:instrText xml:space="preserve"> PAGEREF _Toc29828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_Toc4867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/>
              <w:lang w:val="en-US" w:eastAsia="zh-CN"/>
            </w:rPr>
            <w:t>账号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_Toc4867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_Toc2080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招</w:t>
          </w:r>
          <w:r>
            <w:rPr>
              <w:rFonts w:hint="eastAsia"/>
            </w:rPr>
            <w:t>标</w:t>
          </w:r>
          <w:r>
            <w:rPr>
              <w:rFonts w:hint="eastAsia"/>
              <w:lang w:val="en-US" w:eastAsia="zh-CN"/>
            </w:rPr>
            <w:t>文件编制(项目登记)</w:t>
          </w:r>
          <w:r>
            <w:tab/>
          </w:r>
          <w:r>
            <w:fldChar w:fldCharType="begin"/>
          </w:r>
          <w:r>
            <w:instrText xml:space="preserve"> PAGEREF _Toc2080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_Toc4587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4.1新建项目</w:t>
          </w:r>
          <w:r>
            <w:tab/>
          </w:r>
          <w:r>
            <w:fldChar w:fldCharType="begin"/>
          </w:r>
          <w:r>
            <w:instrText xml:space="preserve"> PAGEREF _Toc4587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_Toc26707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4.2项目流程</w:t>
          </w:r>
          <w:r>
            <w:tab/>
          </w:r>
          <w:r>
            <w:fldChar w:fldCharType="begin"/>
          </w:r>
          <w:r>
            <w:instrText xml:space="preserve"> PAGEREF _Toc26707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_Toc15406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 项目登记字段填写</w:t>
          </w:r>
          <w:r>
            <w:tab/>
          </w:r>
          <w:r>
            <w:fldChar w:fldCharType="begin"/>
          </w:r>
          <w:r>
            <w:instrText xml:space="preserve"> PAGEREF _Toc15406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_Toc25623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4.4 附件区</w:t>
          </w:r>
          <w:r>
            <w:tab/>
          </w:r>
          <w:r>
            <w:fldChar w:fldCharType="begin"/>
          </w:r>
          <w:r>
            <w:instrText xml:space="preserve"> PAGEREF _Toc25623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_Toc18402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招标公告</w:t>
          </w:r>
          <w:r>
            <w:tab/>
          </w:r>
          <w:r>
            <w:fldChar w:fldCharType="begin"/>
          </w:r>
          <w:r>
            <w:instrText xml:space="preserve"> PAGEREF _Toc18402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_Toc30750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补充公告</w:t>
          </w:r>
          <w:r>
            <w:tab/>
          </w:r>
          <w:r>
            <w:fldChar w:fldCharType="begin"/>
          </w:r>
          <w:r>
            <w:instrText xml:space="preserve"> PAGEREF _Toc30750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_Toc18944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终止公告</w:t>
          </w:r>
          <w:r>
            <w:tab/>
          </w:r>
          <w:r>
            <w:fldChar w:fldCharType="begin"/>
          </w:r>
          <w:r>
            <w:instrText xml:space="preserve"> PAGEREF _Toc18944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_Toc3149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八、 开标大厅</w:t>
          </w:r>
          <w:r>
            <w:tab/>
          </w:r>
          <w:r>
            <w:fldChar w:fldCharType="begin"/>
          </w:r>
          <w:r>
            <w:instrText xml:space="preserve"> PAGEREF _Toc3149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_Toc15995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8.1双随机法</w:t>
          </w:r>
          <w:r>
            <w:tab/>
          </w:r>
          <w:r>
            <w:fldChar w:fldCharType="begin"/>
          </w:r>
          <w:r>
            <w:instrText xml:space="preserve"> PAGEREF _Toc15995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_Toc6625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8.2区间让利法</w:t>
          </w:r>
          <w:r>
            <w:tab/>
          </w:r>
          <w:r>
            <w:fldChar w:fldCharType="begin"/>
          </w:r>
          <w:r>
            <w:instrText xml:space="preserve"> PAGEREF _Toc6625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_Toc23120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8.3 聊天互动</w:t>
          </w:r>
          <w:r>
            <w:tab/>
          </w:r>
          <w:r>
            <w:fldChar w:fldCharType="begin"/>
          </w:r>
          <w:r>
            <w:instrText xml:space="preserve"> PAGEREF _Toc23120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_Toc26575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九、 中标候选人公示</w:t>
          </w:r>
          <w:r>
            <w:tab/>
          </w:r>
          <w:r>
            <w:fldChar w:fldCharType="begin"/>
          </w:r>
          <w:r>
            <w:instrText xml:space="preserve"> PAGEREF _Toc26575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_Toc16098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十、 中标结果公告</w:t>
          </w:r>
          <w:r>
            <w:tab/>
          </w:r>
          <w:r>
            <w:fldChar w:fldCharType="begin"/>
          </w:r>
          <w:r>
            <w:instrText xml:space="preserve"> PAGEREF _Toc16098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_Toc14116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十一、 合同订立</w:t>
          </w:r>
          <w:r>
            <w:tab/>
          </w:r>
          <w:r>
            <w:fldChar w:fldCharType="begin"/>
          </w:r>
          <w:r>
            <w:instrText xml:space="preserve"> PAGEREF _Toc14116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begin"/>
          </w:r>
          <w:r>
            <w:rPr>
              <w:rFonts w:hint="eastAsia" w:eastAsiaTheme="minorEastAsia"/>
              <w:bCs/>
              <w:szCs w:val="40"/>
              <w:lang w:eastAsia="zh-CN"/>
            </w:rPr>
            <w:instrText xml:space="preserve"> HYPERLINK \l _Toc8539 </w:instrText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十二、 异常公告</w:t>
          </w:r>
          <w:r>
            <w:tab/>
          </w:r>
          <w:r>
            <w:fldChar w:fldCharType="begin"/>
          </w:r>
          <w:r>
            <w:instrText xml:space="preserve"> PAGEREF _Toc8539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</w:p>
        <w:p>
          <w:pPr>
            <w:spacing w:line="360" w:lineRule="auto"/>
            <w:jc w:val="center"/>
            <w:rPr>
              <w:rFonts w:hint="eastAsia" w:eastAsiaTheme="minorEastAsia"/>
              <w:b/>
              <w:bCs/>
              <w:sz w:val="32"/>
              <w:szCs w:val="40"/>
              <w:lang w:eastAsia="zh-CN"/>
            </w:rPr>
          </w:pPr>
          <w:r>
            <w:rPr>
              <w:rFonts w:hint="eastAsia" w:eastAsiaTheme="minorEastAsia"/>
              <w:bCs/>
              <w:szCs w:val="40"/>
              <w:lang w:eastAsia="zh-CN"/>
            </w:rPr>
            <w:fldChar w:fldCharType="end"/>
          </w:r>
          <w:bookmarkStart w:id="22" w:name="_GoBack"/>
          <w:bookmarkEnd w:id="22"/>
        </w:p>
      </w:sdtContent>
    </w:sdt>
    <w:p>
      <w:pPr>
        <w:spacing w:line="360" w:lineRule="auto"/>
        <w:jc w:val="center"/>
        <w:rPr>
          <w:rFonts w:hint="eastAsia" w:eastAsiaTheme="minorEastAsia"/>
          <w:b/>
          <w:bCs/>
          <w:sz w:val="32"/>
          <w:szCs w:val="40"/>
          <w:lang w:eastAsia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center"/>
        <w:rPr>
          <w:b/>
          <w:bCs/>
          <w:sz w:val="32"/>
          <w:szCs w:val="32"/>
        </w:rPr>
      </w:pPr>
      <w:bookmarkStart w:id="0" w:name="_Toc10498"/>
      <w:r>
        <w:rPr>
          <w:rFonts w:hint="eastAsia"/>
          <w:b/>
          <w:bCs/>
          <w:sz w:val="32"/>
          <w:szCs w:val="32"/>
        </w:rPr>
        <w:t>金华市限额以下工程交易在线应用</w:t>
      </w:r>
      <w:bookmarkEnd w:id="0"/>
    </w:p>
    <w:p>
      <w:pPr>
        <w:bidi w:val="0"/>
        <w:jc w:val="center"/>
        <w:rPr>
          <w:b/>
          <w:bCs/>
          <w:sz w:val="32"/>
          <w:szCs w:val="32"/>
        </w:rPr>
      </w:pPr>
      <w:bookmarkStart w:id="1" w:name="_Toc31742"/>
      <w:r>
        <w:rPr>
          <w:rFonts w:hint="eastAsia"/>
          <w:b/>
          <w:bCs/>
          <w:sz w:val="32"/>
          <w:szCs w:val="32"/>
          <w:lang w:val="en-US" w:eastAsia="zh-CN"/>
        </w:rPr>
        <w:t>招</w:t>
      </w:r>
      <w:r>
        <w:rPr>
          <w:rFonts w:hint="eastAsia"/>
          <w:b/>
          <w:bCs/>
          <w:sz w:val="32"/>
          <w:szCs w:val="32"/>
        </w:rPr>
        <w:t>标人</w:t>
      </w:r>
      <w:r>
        <w:rPr>
          <w:rFonts w:hint="eastAsia"/>
          <w:b/>
          <w:bCs/>
          <w:sz w:val="32"/>
          <w:szCs w:val="32"/>
          <w:lang w:val="en-US" w:eastAsia="zh-CN"/>
        </w:rPr>
        <w:t>/代理</w:t>
      </w:r>
      <w:r>
        <w:rPr>
          <w:rFonts w:hint="eastAsia"/>
          <w:b/>
          <w:bCs/>
          <w:sz w:val="32"/>
          <w:szCs w:val="32"/>
        </w:rPr>
        <w:t>操作手册</w:t>
      </w:r>
      <w:bookmarkEnd w:id="1"/>
    </w:p>
    <w:p>
      <w:pPr>
        <w:pStyle w:val="2"/>
        <w:numPr>
          <w:ilvl w:val="0"/>
          <w:numId w:val="1"/>
        </w:numPr>
        <w:bidi w:val="0"/>
      </w:pPr>
      <w:bookmarkStart w:id="2" w:name="_Toc57388160"/>
      <w:bookmarkStart w:id="3" w:name="_Toc997"/>
      <w:r>
        <w:t>编写目的</w:t>
      </w:r>
      <w:bookmarkEnd w:id="2"/>
      <w:bookmarkEnd w:id="3"/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本手册主要是对金华市限额以下工程交易在线应用</w:t>
      </w:r>
      <w:r>
        <w:rPr>
          <w:rFonts w:hint="eastAsia" w:ascii="宋体" w:hAnsi="宋体"/>
          <w:lang w:val="en-US" w:eastAsia="zh-CN"/>
        </w:rPr>
        <w:t>招标人/代理</w:t>
      </w:r>
      <w:r>
        <w:rPr>
          <w:rFonts w:ascii="宋体" w:hAnsi="宋体"/>
        </w:rPr>
        <w:t>人角色</w:t>
      </w:r>
      <w:r>
        <w:rPr>
          <w:rFonts w:hint="eastAsia" w:ascii="宋体" w:hAnsi="宋体"/>
        </w:rPr>
        <w:t>的主要功能和操作界面作简要说明。请系统使用者务必认真阅读此手册，以便能够准确高效的完成相关的操作。</w:t>
      </w:r>
    </w:p>
    <w:p>
      <w:pPr>
        <w:spacing w:line="360" w:lineRule="auto"/>
        <w:ind w:firstLine="480" w:firstLineChars="200"/>
        <w:rPr>
          <w:rFonts w:ascii="宋体" w:hAnsi="宋体"/>
          <w:sz w:val="27"/>
          <w:szCs w:val="27"/>
        </w:rPr>
      </w:pPr>
      <w:r>
        <w:rPr>
          <w:rFonts w:hint="eastAsia" w:ascii="宋体" w:hAnsi="宋体"/>
        </w:rPr>
        <w:t>本手册的预期阅读对象为：</w:t>
      </w:r>
      <w:r>
        <w:rPr>
          <w:rFonts w:hint="eastAsia" w:ascii="宋体" w:hAnsi="宋体"/>
          <w:lang w:val="en-US" w:eastAsia="zh-CN"/>
        </w:rPr>
        <w:t>招标人/招标代理，这两个角色在系统中的权限是一样的</w:t>
      </w:r>
      <w:r>
        <w:rPr>
          <w:rFonts w:hint="eastAsia" w:ascii="宋体" w:hAnsi="宋体"/>
        </w:rPr>
        <w:t>。</w:t>
      </w:r>
      <w:r>
        <w:rPr>
          <w:rFonts w:hint="eastAsia" w:ascii="宋体" w:hAnsi="宋体"/>
          <w:sz w:val="27"/>
          <w:szCs w:val="27"/>
        </w:rPr>
        <w:t> </w:t>
      </w:r>
    </w:p>
    <w:p>
      <w:pPr>
        <w:spacing w:line="360" w:lineRule="auto"/>
        <w:ind w:firstLine="48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注意</w:t>
      </w:r>
      <w:r>
        <w:rPr>
          <w:rFonts w:ascii="宋体" w:hAnsi="宋体"/>
          <w:b/>
        </w:rPr>
        <w:t>事项：</w:t>
      </w:r>
    </w:p>
    <w:p>
      <w:pPr>
        <w:spacing w:line="48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lang w:val="en-US" w:eastAsia="zh-CN"/>
        </w:rPr>
        <w:t>推荐</w:t>
      </w:r>
      <w:r>
        <w:rPr>
          <w:rFonts w:hint="eastAsia" w:ascii="宋体" w:hAnsi="宋体"/>
        </w:rPr>
        <w:t>使用</w:t>
      </w:r>
      <w:r>
        <w:rPr>
          <w:rFonts w:hint="eastAsia" w:ascii="宋体" w:hAnsi="宋体"/>
          <w:lang w:val="en-US" w:eastAsia="zh-CN"/>
        </w:rPr>
        <w:t>360浏览器极速模式，若使用Edge、Chrome浏览器，浏览器需要开启CA签章驱动权限，不推荐IE</w:t>
      </w:r>
      <w:r>
        <w:rPr>
          <w:rFonts w:hint="eastAsia" w:ascii="宋体" w:hAnsi="宋体"/>
        </w:rPr>
        <w:t>浏览器</w:t>
      </w:r>
      <w:r>
        <w:rPr>
          <w:rFonts w:hint="eastAsia" w:ascii="宋体" w:hAnsi="宋体"/>
          <w:lang w:val="en-US" w:eastAsia="zh-CN"/>
        </w:rPr>
        <w:t>或360兼容模式</w:t>
      </w:r>
      <w:r>
        <w:rPr>
          <w:rFonts w:hint="eastAsia" w:ascii="宋体" w:hAnsi="宋体"/>
          <w:szCs w:val="24"/>
        </w:rPr>
        <w:t>。</w:t>
      </w:r>
    </w:p>
    <w:p>
      <w:pPr>
        <w:spacing w:line="480" w:lineRule="auto"/>
        <w:ind w:firstLine="480" w:firstLineChars="200"/>
        <w:rPr>
          <w:rFonts w:hint="default" w:ascii="宋体" w:hAnsi="宋体"/>
          <w:szCs w:val="24"/>
          <w:lang w:val="en-US"/>
        </w:rPr>
      </w:pPr>
      <w:r>
        <w:rPr>
          <w:rFonts w:hint="eastAsia" w:ascii="宋体" w:hAnsi="宋体"/>
          <w:lang w:val="en-US" w:eastAsia="zh-CN"/>
        </w:rPr>
        <w:t>Edge、Chrome浏览器，CA驱动权限开启方法：</w:t>
      </w:r>
      <w:r>
        <w:rPr>
          <w:rFonts w:ascii="宋体" w:hAnsi="宋体" w:eastAsia="宋体" w:cs="宋体"/>
          <w:sz w:val="24"/>
          <w:szCs w:val="24"/>
        </w:rPr>
        <w:t>请在浏览器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地址栏</w:t>
      </w:r>
      <w:r>
        <w:rPr>
          <w:rFonts w:ascii="宋体" w:hAnsi="宋体" w:eastAsia="宋体" w:cs="宋体"/>
          <w:sz w:val="24"/>
          <w:szCs w:val="24"/>
        </w:rPr>
        <w:t>输入（chrome://flags/#block-insecure-private-network-requests）设置（Block insecure private network requests.）为Disabled,并重启浏览器。</w:t>
      </w:r>
    </w:p>
    <w:p>
      <w:pPr>
        <w:spacing w:line="480" w:lineRule="auto"/>
        <w:rPr>
          <w:rFonts w:hint="eastAsia" w:ascii="宋体" w:hAnsi="宋体"/>
          <w:szCs w:val="24"/>
        </w:rPr>
      </w:pPr>
      <w:r>
        <w:drawing>
          <wp:inline distT="0" distB="0" distL="114300" distR="114300">
            <wp:extent cx="5274310" cy="2242820"/>
            <wp:effectExtent l="0" t="0" r="2540" b="508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/>
          <w:szCs w:val="24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4" w:name="_Toc29828"/>
      <w:r>
        <w:rPr>
          <w:rFonts w:hint="eastAsia"/>
          <w:lang w:val="en-US" w:eastAsia="zh-CN"/>
        </w:rPr>
        <w:t>业务流程图</w:t>
      </w:r>
      <w:bookmarkEnd w:id="4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项目因地域，项目所属级别不同，审批部门及审批步骤存在差异。</w:t>
      </w:r>
    </w:p>
    <w:p>
      <w:pPr>
        <w:spacing w:line="480" w:lineRule="auto"/>
        <w:rPr>
          <w:rFonts w:hint="eastAsia" w:ascii="宋体" w:hAnsi="宋体" w:eastAsiaTheme="minorEastAsia"/>
          <w:szCs w:val="24"/>
          <w:lang w:eastAsia="zh-CN"/>
        </w:rPr>
      </w:pPr>
      <w:r>
        <w:rPr>
          <w:rFonts w:hint="eastAsia" w:ascii="宋体" w:hAnsi="宋体" w:eastAsiaTheme="minorEastAsia"/>
          <w:szCs w:val="24"/>
          <w:lang w:eastAsia="zh-CN"/>
        </w:rPr>
        <w:drawing>
          <wp:inline distT="0" distB="0" distL="114300" distR="114300">
            <wp:extent cx="5269865" cy="6814185"/>
            <wp:effectExtent l="0" t="0" r="6985" b="5715"/>
            <wp:docPr id="14" name="图片 14" descr="业务流程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业务流程图_00"/>
                    <pic:cNvPicPr>
                      <a:picLocks noChangeAspect="1"/>
                    </pic:cNvPicPr>
                  </pic:nvPicPr>
                  <pic:blipFill>
                    <a:blip r:embed="rId11"/>
                    <a:srcRect b="57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</w:pPr>
      <w:bookmarkStart w:id="5" w:name="_Toc4867"/>
      <w:r>
        <w:rPr>
          <w:rFonts w:hint="eastAsia"/>
          <w:lang w:val="en-US" w:eastAsia="zh-CN"/>
        </w:rPr>
        <w:t>账号</w:t>
      </w:r>
      <w:r>
        <w:rPr>
          <w:rFonts w:hint="eastAsia"/>
        </w:rPr>
        <w:t>注册</w:t>
      </w:r>
      <w:bookmarkEnd w:id="5"/>
    </w:p>
    <w:p>
      <w:pPr>
        <w:spacing w:line="360" w:lineRule="auto"/>
        <w:ind w:firstLine="60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投标企业在</w:t>
      </w:r>
      <w:r>
        <w:rPr>
          <w:rFonts w:hint="eastAsia"/>
          <w:b/>
          <w:bCs/>
          <w:sz w:val="24"/>
          <w:szCs w:val="32"/>
        </w:rPr>
        <w:t>金华市限额以下工程工程交易在线</w:t>
      </w:r>
      <w:r>
        <w:rPr>
          <w:rFonts w:hint="eastAsia"/>
          <w:sz w:val="24"/>
          <w:szCs w:val="32"/>
        </w:rPr>
        <w:t>完成企业注册，注册网址：</w:t>
      </w:r>
      <w:r>
        <w:fldChar w:fldCharType="begin"/>
      </w:r>
      <w:r>
        <w:instrText xml:space="preserve"> HYPERLINK "http://ggzyjy.jinhua.gov.cn:8809/auth/sysUser/logout.do。完成必填项企业信息。注册完成提交后，由用户管理人员完成信息审核即可登录系统参与交易。" </w:instrText>
      </w:r>
      <w:r>
        <w:fldChar w:fldCharType="separate"/>
      </w:r>
      <w:r>
        <w:rPr>
          <w:rStyle w:val="10"/>
          <w:rFonts w:hint="eastAsia"/>
          <w:sz w:val="24"/>
          <w:szCs w:val="32"/>
        </w:rPr>
        <w:t>http://ggzyjy.jinhua.gov.cn:8809/auth/sysUser/logout.do</w:t>
      </w:r>
      <w:r>
        <w:rPr>
          <w:rStyle w:val="10"/>
          <w:rFonts w:hint="eastAsia"/>
          <w:sz w:val="24"/>
          <w:szCs w:val="32"/>
        </w:rPr>
        <w:fldChar w:fldCharType="end"/>
      </w:r>
      <w:r>
        <w:rPr>
          <w:rStyle w:val="10"/>
          <w:rFonts w:hint="eastAsia"/>
          <w:sz w:val="24"/>
          <w:szCs w:val="32"/>
          <w:u w:val="none"/>
          <w:lang w:val="en-US" w:eastAsia="zh-CN"/>
        </w:rPr>
        <w:t>。</w:t>
      </w:r>
    </w:p>
    <w:p>
      <w:pPr>
        <w:spacing w:line="360" w:lineRule="auto"/>
        <w:jc w:val="left"/>
        <w:rPr>
          <w:rStyle w:val="10"/>
          <w:rFonts w:hint="eastAsia"/>
          <w:color w:val="000000" w:themeColor="text1"/>
          <w:sz w:val="24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72034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eastAsiaTheme="minorEastAsia"/>
          <w:sz w:val="24"/>
          <w:szCs w:val="32"/>
          <w:lang w:val="en-US" w:eastAsia="zh-CN"/>
        </w:rPr>
      </w:pPr>
      <w:r>
        <w:rPr>
          <w:rStyle w:val="10"/>
          <w:rFonts w:hint="eastAsia"/>
          <w:color w:val="000000" w:themeColor="text1"/>
          <w:sz w:val="24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完成必填项企业信息，业务类型-主体角色，选择招标代理或招标人（这两个角色的权限是一样的），提交后，主体库注册审核通过后，需要使用账号重新登录，即可看到账号权限下的【限额工程】【数字开标】相关模块。</w:t>
      </w:r>
    </w:p>
    <w:p>
      <w:pPr>
        <w:spacing w:line="360" w:lineRule="auto"/>
        <w:ind w:firstLine="600"/>
        <w:jc w:val="left"/>
      </w:pPr>
      <w:r>
        <w:rPr>
          <w:rFonts w:hint="eastAsia"/>
          <w:sz w:val="24"/>
          <w:szCs w:val="32"/>
        </w:rPr>
        <w:t>通过【变更交易主体信息】可维护主体信息。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2139950"/>
            <wp:effectExtent l="0" t="0" r="4445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</w:pPr>
      <w:r>
        <w:rPr>
          <w:rFonts w:hint="eastAsia"/>
          <w:b/>
          <w:bCs/>
          <w:color w:val="FF0000"/>
          <w:sz w:val="24"/>
          <w:szCs w:val="32"/>
        </w:rPr>
        <w:t>注意点:请记住账号和密码，忘记密码用手机号找回。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2080"/>
      <w:r>
        <w:rPr>
          <w:rFonts w:hint="eastAsia"/>
          <w:lang w:val="en-US" w:eastAsia="zh-CN"/>
        </w:rPr>
        <w:t>招</w:t>
      </w:r>
      <w:r>
        <w:rPr>
          <w:rFonts w:hint="eastAsia"/>
        </w:rPr>
        <w:t>标</w:t>
      </w:r>
      <w:r>
        <w:rPr>
          <w:rFonts w:hint="eastAsia"/>
          <w:lang w:val="en-US" w:eastAsia="zh-CN"/>
        </w:rPr>
        <w:t>文件编制(项目登记)</w:t>
      </w:r>
      <w:bookmarkEnd w:id="6"/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4587"/>
      <w:r>
        <w:rPr>
          <w:rFonts w:hint="eastAsia"/>
          <w:lang w:val="en-US" w:eastAsia="zh-CN"/>
        </w:rPr>
        <w:t>4.1新建项目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在【我的项目】界面，点击右上角【新增项目】，需要选择项目所属的监督平台，新增项目前，需要确定该项目是乡镇项目还是县级项目，选择错了是不能更改的，只能重新新建项目。</w:t>
      </w:r>
    </w:p>
    <w:p>
      <w:r>
        <w:drawing>
          <wp:inline distT="0" distB="0" distL="114300" distR="114300">
            <wp:extent cx="5272405" cy="2419350"/>
            <wp:effectExtent l="0" t="0" r="444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86430" cy="1833245"/>
            <wp:effectExtent l="0" t="0" r="1397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26707"/>
      <w:r>
        <w:rPr>
          <w:rFonts w:hint="eastAsia"/>
          <w:lang w:val="en-US" w:eastAsia="zh-CN"/>
        </w:rPr>
        <w:t>4.2项目流程</w:t>
      </w:r>
      <w:bookmarkEnd w:id="8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新建项目后，或点击【查看项目】，进入参数填写界面。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流程，会展现当前项目已完成的步、进行中的步骤和未进行的步骤。进行中和已完成的步骤，是可以点击的，点击后，下面会出现该步骤的列表，进行中的步骤此时会出现【编辑】【删除】，可将进行中的流程删除掉；已完成的步骤，会出现【查看】按钮。</w:t>
      </w:r>
    </w:p>
    <w:p>
      <w:pPr>
        <w:jc w:val="center"/>
      </w:pPr>
      <w:r>
        <w:drawing>
          <wp:inline distT="0" distB="0" distL="114300" distR="114300">
            <wp:extent cx="5264150" cy="1732915"/>
            <wp:effectExtent l="0" t="0" r="12700" b="6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15406"/>
      <w:r>
        <w:rPr>
          <w:rFonts w:hint="eastAsia"/>
          <w:lang w:val="en-US" w:eastAsia="zh-CN"/>
        </w:rPr>
        <w:t>4.3 项目登记字段填写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字段分三部分，项目信息、招标项目信息和标段信息。</w:t>
      </w:r>
    </w:p>
    <w:p>
      <w:r>
        <w:drawing>
          <wp:inline distT="0" distB="0" distL="114300" distR="114300">
            <wp:extent cx="5266055" cy="1325880"/>
            <wp:effectExtent l="0" t="0" r="10795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760855"/>
            <wp:effectExtent l="0" t="0" r="3810" b="107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80970"/>
            <wp:effectExtent l="0" t="0" r="3810" b="50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允许投标单位注册范围：本辖区、金华市，不限区域。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辖区时相对项目信息中的项目所在行政区域代码而言，比如项目所在行政区域代码选择【浦江县】，则选择本辖区，指注册地在浦江县的企业才能参与投标(其他区域的投标人可以看到项目，但是在报名时，会提示企业注册地不满足要求)。选择【金华市】，指允许注册地是金华市的企业才能参与投标，选择【不限区域】，指各个地域企业都可以来投标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5623"/>
      <w:r>
        <w:rPr>
          <w:rFonts w:hint="eastAsia"/>
          <w:lang w:val="en-US" w:eastAsia="zh-CN"/>
        </w:rPr>
        <w:t>4.4 附件区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默认必上传招标文件，此处的招标文件，还没有确定开标时间地点，需要将整个招标方案几内容上传，由交管部门审核，审核完后，再安排具体的开标时间地点。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点击【上传】，可上传pdf的招标文件，上传后，可在线签章，签章需要电脑安装CA驱动，若没有安装，点击【签章】会弹出相应提示，点击下载驱动即可。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709295"/>
            <wp:effectExtent l="0" t="0" r="8255" b="146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增加】，需要上传其他附件时，点击增加，弹出新增附件弹窗，默认投标人不可见，不发布外网，因为这一步不推送到网站，不对投标人展现，只是给监督部门审核。后面其他流程，如发布公告，若附件需要给投标人看，需要发布外网，则选择【是】即可。</w:t>
      </w:r>
    </w:p>
    <w:p>
      <w:pPr>
        <w:jc w:val="center"/>
      </w:pPr>
      <w:r>
        <w:drawing>
          <wp:inline distT="0" distB="0" distL="114300" distR="114300">
            <wp:extent cx="4867275" cy="1620520"/>
            <wp:effectExtent l="0" t="0" r="9525" b="177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rcRect b="1974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773555"/>
            <wp:effectExtent l="0" t="0" r="6350" b="171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项目登记提交后，可通过【查看详情】再次进入，查看已经提交的信息，查看项目当前的审批进展，以及查看当前项目的审批流程图，看该项目需要哪些人员审批。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997585"/>
            <wp:effectExtent l="0" t="0" r="3810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1" w:name="_Toc18402"/>
      <w:r>
        <w:rPr>
          <w:rFonts w:hint="eastAsia"/>
          <w:lang w:val="en-US" w:eastAsia="zh-CN"/>
        </w:rPr>
        <w:t>招标公告</w:t>
      </w:r>
      <w:bookmarkEnd w:id="11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【我的公告】：所有的公告公示都是在这一步发布，系统会根据选择的项目当前所处的阶段，判断公告类型的可选项。比如当前选择的项目，项目登记已经审核完成，则可选项有招标公告和终止公告；当前项目招标公告已经发布，开标时间未到，则可选项有补充公告、终止公告。</w:t>
      </w:r>
    </w:p>
    <w:p>
      <w:r>
        <w:drawing>
          <wp:inline distT="0" distB="0" distL="114300" distR="114300">
            <wp:extent cx="5272405" cy="2419350"/>
            <wp:effectExtent l="0" t="0" r="4445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76755"/>
            <wp:effectExtent l="0" t="0" r="3810" b="444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选择项目登记已经审核完成的项目，【请选择公告类型】选择【招标公告】，则进入招标公告信息填写界面。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公告标题：项目名称+招标公告，如浦江三中文化长廊改造工程招标公告。  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公告时间：可选择【现在】，该时间不影响发布时间，后期版本会去掉这个字段，本系统的所有公告公示，在审核完成后，自动发布到门户网站和推送到投标人界面。</w:t>
      </w:r>
    </w:p>
    <w:p>
      <w:r>
        <w:drawing>
          <wp:inline distT="0" distB="0" distL="114300" distR="114300">
            <wp:extent cx="5272405" cy="2375535"/>
            <wp:effectExtent l="0" t="0" r="4445" b="57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办法：双随机法、区间让利法、最近价法。选择双随机法和区间让利法时，会出现让利率范围参数，该参数控制着开标大厅中标让利率的抽取范围。当选择最低价法，该项目不会进入开标大厅，招标人线下开标自行解决。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开标地点：暂无该参数，代理线下与当地交易中心商议自行解决，待后期场地管理系统上线后，该参数再开放。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附件区：可上传pdf格式文件及压缩包，上传pdf后可进行线上签章。都选择对外发布，投标人可见。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2" w:name="_Toc30750"/>
      <w:r>
        <w:rPr>
          <w:rFonts w:hint="eastAsia"/>
          <w:lang w:val="en-US" w:eastAsia="zh-CN"/>
        </w:rPr>
        <w:t>补充公告</w:t>
      </w:r>
      <w:bookmarkEnd w:id="12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招标公告发布后，开标时间前，招标人可对通过发布补充公告，对招标文件进行补充变更。</w:t>
      </w:r>
    </w:p>
    <w:p>
      <w:r>
        <w:drawing>
          <wp:inline distT="0" distB="0" distL="114300" distR="114300">
            <wp:extent cx="5126990" cy="2065655"/>
            <wp:effectExtent l="0" t="0" r="16510" b="1079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rcRect l="2758" t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我的公告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→发布公告，选择需要发布补充公告的项目，公告类型选择补充公告，即可进入补充公告界面。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公告标题：项目名称+补充公告，如浦江三中文化长廊改造工程补充公告。  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公告时间：可选择【现在】，该时间不影响发布时间，后期版本会去掉这个字段，本系统的所有公告公示，在审核完成后，自动发布到门户网站和推送到投标人界面。</w:t>
      </w:r>
    </w:p>
    <w:p>
      <w:pPr>
        <w:jc w:val="center"/>
      </w:pPr>
      <w:r>
        <w:drawing>
          <wp:inline distT="0" distB="0" distL="114300" distR="114300">
            <wp:extent cx="5268595" cy="2466975"/>
            <wp:effectExtent l="0" t="0" r="8255" b="952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是否延期：是，则时间参数将被允许修改，否，则所有的时间参数将不能更改。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附件区：将补充变更的内容，上传到附件区，可上传pdf，进行线上签章。都选择对外发布，投标人可见。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3" w:name="_Toc18944"/>
      <w:r>
        <w:rPr>
          <w:rFonts w:hint="eastAsia"/>
          <w:lang w:val="en-US" w:eastAsia="zh-CN"/>
        </w:rPr>
        <w:t>终止公告</w:t>
      </w:r>
      <w:bookmarkEnd w:id="13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项目在开标前，由于某些原因，需要终止招标的，可随时发布终止公告。</w:t>
      </w:r>
    </w:p>
    <w:p>
      <w:r>
        <w:drawing>
          <wp:inline distT="0" distB="0" distL="114300" distR="114300">
            <wp:extent cx="5126990" cy="2065655"/>
            <wp:effectExtent l="0" t="0" r="16510" b="1079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rcRect l="2758" t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我的公告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→发布公告，选择需要发布终止公告的项目，公告类型选择终止公告，即可进入终止公告界面。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4" w:name="_Toc3149"/>
      <w:r>
        <w:rPr>
          <w:rFonts w:hint="eastAsia"/>
          <w:lang w:val="en-US" w:eastAsia="zh-CN"/>
        </w:rPr>
        <w:t>开标大厅</w:t>
      </w:r>
      <w:bookmarkEnd w:id="14"/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15995"/>
      <w:r>
        <w:rPr>
          <w:rFonts w:hint="eastAsia"/>
          <w:lang w:val="en-US" w:eastAsia="zh-CN"/>
        </w:rPr>
        <w:t>8.1双随机法</w:t>
      </w:r>
      <w:bookmarkEnd w:id="15"/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第一步：进入开标大厅，准备开标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>登录代理账号，在数字开标下-今日开标，找到今日要开标的项目，点击【进入开标室】，若开标时间未到，会显示倒计时；开标时间到了，第二个按钮【查看投标单位】会激活。</w:t>
      </w:r>
    </w:p>
    <w:p>
      <w:r>
        <w:drawing>
          <wp:inline distT="0" distB="0" distL="114300" distR="114300">
            <wp:extent cx="5269230" cy="1047750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rcRect b="226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3815" cy="259905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r="6170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第二步：查看投标单位</w:t>
      </w:r>
    </w:p>
    <w:p>
      <w:pPr>
        <w:ind w:firstLine="480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该页面展示所有的投标单位，【查看附件】可查看投标人上传的投标文件，pdf格式的可直接预览，压缩包格式rar、zip的可下载；代理初审后，对要否决投标的，勾选→输入理由→确定，在没有点击【确定并进入下一步】，否决可以取消。初审内容：项目负责人是否满足要求，投标人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未被“信用浙江”列入失信被执行人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.....，也可步不初审，直接进入下一步，具体执行以当地交易中心意见为准。</w:t>
      </w:r>
    </w:p>
    <w:p>
      <w:pPr>
        <w:ind w:firstLine="480"/>
        <w:rPr>
          <w:rFonts w:hint="default"/>
          <w:lang w:val="en-US"/>
        </w:rPr>
      </w:pPr>
      <w:r>
        <w:rPr>
          <w:rFonts w:hint="eastAsia"/>
          <w:b w:val="0"/>
          <w:bCs w:val="0"/>
          <w:lang w:val="en-US" w:eastAsia="zh-CN"/>
        </w:rPr>
        <w:t>点击【确定并进入下一步】，跳转到下一步，这一步的数据将被锁定无法更改。</w:t>
      </w:r>
    </w:p>
    <w:p>
      <w:r>
        <w:drawing>
          <wp:inline distT="0" distB="0" distL="114300" distR="114300">
            <wp:extent cx="5244465" cy="2719070"/>
            <wp:effectExtent l="0" t="0" r="133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rcRect t="11594" r="5592" b="734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15870" cy="456565"/>
            <wp:effectExtent l="0" t="0" r="1778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5085" cy="45339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19655" cy="993140"/>
            <wp:effectExtent l="0" t="0" r="444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2110" cy="9836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第三步：随机配号</w:t>
      </w:r>
    </w:p>
    <w:p>
      <w:pPr>
        <w:ind w:firstLine="42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点击右上角的【生成随机号】，给进入配号的企业随机生成一个随机号，并按照号码重新排序，否决的投标人不会进入这个页面。</w:t>
      </w:r>
    </w:p>
    <w:p>
      <w:pPr>
        <w:ind w:firstLine="420"/>
      </w:pPr>
      <w:r>
        <w:drawing>
          <wp:inline distT="0" distB="0" distL="114300" distR="114300">
            <wp:extent cx="4948555" cy="281114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rcRect t="11654" r="6086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第四步：抽取中标候选人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默认【随机抽取】按钮时激活的，点击后，随机号开始跳动，此时【结束抽取】激活，代理在任意时间点，可点击【结束抽取】，出现抽中的号码，同时显示该号码对应的投标人。  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对该企业进行资格审查，资审通过则可以进入下一步，则该投标人为中标候选人，资审不通过，则【随机抽取】按钮激活可再次抽取，直至抽到一个资审通过的为止。</w:t>
      </w:r>
    </w:p>
    <w:p>
      <w:r>
        <w:drawing>
          <wp:inline distT="0" distB="0" distL="114300" distR="114300">
            <wp:extent cx="5274310" cy="2385060"/>
            <wp:effectExtent l="0" t="0" r="25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第五步：抽取让利率</w:t>
      </w:r>
    </w:p>
    <w:p>
      <w:pPr>
        <w:ind w:firstLine="480" w:firstLineChars="200"/>
        <w:rPr>
          <w:rFonts w:hint="default"/>
          <w:lang w:val="en-US"/>
        </w:rPr>
      </w:pPr>
      <w:r>
        <w:rPr>
          <w:rFonts w:hint="eastAsia"/>
          <w:b w:val="0"/>
          <w:bCs w:val="0"/>
          <w:lang w:val="en-US" w:eastAsia="zh-CN"/>
        </w:rPr>
        <w:t>按照整数位、十分位、百分位依次抽取，按钮依次激活，均只可点击一次，点击【随机抽取】，激活【结束抽取】，代理在任意时间结束抽取，百分位抽取完后，中标让利率自动显示最终结果。此时可进入下一步。</w:t>
      </w:r>
    </w:p>
    <w:p>
      <w:r>
        <w:drawing>
          <wp:inline distT="0" distB="0" distL="114300" distR="114300">
            <wp:extent cx="5269865" cy="2375535"/>
            <wp:effectExtent l="0" t="0" r="698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第六步：过程记录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【开标过程的其他事项记录】，记录人可对开标过程中出现的其他需要记录的事项进行记录并存档；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招标人代表、记录人、监标人均需要填入；</w:t>
      </w:r>
    </w:p>
    <w:p>
      <w:pPr>
        <w:ind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若没有可填写的内容，可填写无。</w:t>
      </w:r>
    </w:p>
    <w:p>
      <w:r>
        <w:drawing>
          <wp:inline distT="0" distB="0" distL="114300" distR="114300">
            <wp:extent cx="5265420" cy="2345690"/>
            <wp:effectExtent l="0" t="0" r="1143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第七步：生成开标报告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>代理可将生成的开标记录表下载，格式为excle，中标候选人公示，需要将该表格作为附件公示。</w:t>
      </w:r>
    </w:p>
    <w:p>
      <w:r>
        <w:drawing>
          <wp:inline distT="0" distB="0" distL="114300" distR="114300">
            <wp:extent cx="5265420" cy="2343150"/>
            <wp:effectExtent l="0" t="0" r="1143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6625"/>
      <w:r>
        <w:rPr>
          <w:rFonts w:hint="eastAsia"/>
          <w:lang w:val="en-US" w:eastAsia="zh-CN"/>
        </w:rPr>
        <w:t>8.2区间让利法</w:t>
      </w:r>
      <w:bookmarkEnd w:id="16"/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第一步：进入开标大厅，准备开标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>登录代理账号，在数字开标下-今日开标，找到今日要开标的项目，点击【进入开标室】，若开标时间未到，会显示倒计时；开标时间到了，第二个按钮【查看投标单位】会激活。</w:t>
      </w:r>
    </w:p>
    <w:p>
      <w:r>
        <w:drawing>
          <wp:inline distT="0" distB="0" distL="114300" distR="114300">
            <wp:extent cx="5269230" cy="1047750"/>
            <wp:effectExtent l="0" t="0" r="762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rcRect b="226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155825"/>
            <wp:effectExtent l="0" t="0" r="11430" b="1587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第二步：查看投标单位</w:t>
      </w:r>
    </w:p>
    <w:p>
      <w:pPr>
        <w:ind w:firstLine="480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该页面展示所有的投标单位，【查看附件】可查看投标人上传的投标文件，pdf格式的可直接预览，压缩包格式rar、zip的可下载；代理初审后，对要否决投标的，勾选→输入理由→确定，在没有点击【确定并进入下一步】，否决可以取消。初审内容：项目负责人是否满足要求，投标人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未被“信用浙江”列入失信被执行人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.....，也可步不初审，直接进入下一步，具体执行以当地交易中心意见为准。</w:t>
      </w:r>
    </w:p>
    <w:p>
      <w:pPr>
        <w:ind w:firstLine="480"/>
        <w:rPr>
          <w:rFonts w:hint="default"/>
          <w:lang w:val="en-US"/>
        </w:rPr>
      </w:pPr>
      <w:r>
        <w:rPr>
          <w:rFonts w:hint="eastAsia"/>
          <w:b w:val="0"/>
          <w:bCs w:val="0"/>
          <w:lang w:val="en-US" w:eastAsia="zh-CN"/>
        </w:rPr>
        <w:t>点击【确定并进入下一步】，跳转到下一步，这一步的数据将被锁定无法更改。</w:t>
      </w:r>
    </w:p>
    <w:p>
      <w:pPr>
        <w:jc w:val="center"/>
      </w:pPr>
      <w:r>
        <w:drawing>
          <wp:inline distT="0" distB="0" distL="114300" distR="114300">
            <wp:extent cx="4253230" cy="2138680"/>
            <wp:effectExtent l="0" t="0" r="1397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rcRect l="17844" t="28897" r="5592" b="7344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15870" cy="456565"/>
            <wp:effectExtent l="0" t="0" r="1778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5085" cy="453390"/>
            <wp:effectExtent l="0" t="0" r="5715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19655" cy="993140"/>
            <wp:effectExtent l="0" t="0" r="444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2110" cy="98361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第三步：抽取基准让利率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按照整数位、十分位、百分位依次抽取，按钮依次激活，均只可点击一次，点击【随机抽取】，激活【结束抽取】，代理在任意时间结束抽取，百分位抽取完后，中标让利率自动显示最终结果。此时可进入下一步。</w:t>
      </w:r>
    </w:p>
    <w:p>
      <w:r>
        <w:drawing>
          <wp:inline distT="0" distB="0" distL="114300" distR="114300">
            <wp:extent cx="5273040" cy="2057400"/>
            <wp:effectExtent l="0" t="0" r="3810" b="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第四步：计算得分/排名</w:t>
      </w:r>
    </w:p>
    <w:p>
      <w:pPr>
        <w:ind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系统按照计算规则，自动计算各个企业的分数，当按照让利率计算的得分相同时，让利率高的排名靠前，若排名再相同时，需要使用随机排号，对相同排名的企业进行自动排号。比如三四名并列第三名，则会对这两个企业进行第三第四名称的随机排名。只有所有企业排名都唯一时，没有并列，则可以进入下一步。</w:t>
      </w:r>
    </w:p>
    <w:p>
      <w:r>
        <w:drawing>
          <wp:inline distT="0" distB="0" distL="114300" distR="114300">
            <wp:extent cx="5271135" cy="2020570"/>
            <wp:effectExtent l="0" t="0" r="5715" b="1778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第五步：资格审查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按排名依次对企业进行资格审查，直至到资审通过，则确定中标候选人。系统只允许从第一名开始进行资审，第一名通过，则该企业为中标候选人，第一名不通过，则切换为不通过，会弹出输入理由框，输入不通过的理由后，点击【确定】，该企业正式被否决，第二名被激活，允许被审查，依次往下走，直至找到一个资审合格为止。</w:t>
      </w:r>
    </w:p>
    <w:p>
      <w:pPr>
        <w:ind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若是资审都不通过，则该项目流标，代理可宣布开标结束。后面流程均可不操作。</w:t>
      </w:r>
    </w:p>
    <w:p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5420" cy="1928495"/>
            <wp:effectExtent l="0" t="0" r="11430" b="1460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第六步：过程记录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【开标过程的其他事项记录】，记录人可对开标过程中出现的其他需要记录的事项进行记录并存档；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招标人代表、记录人、监标人均需要填入；</w:t>
      </w:r>
    </w:p>
    <w:p>
      <w:pPr>
        <w:ind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若没有可填写的内容，可填写无。</w:t>
      </w:r>
    </w:p>
    <w:p>
      <w:r>
        <w:drawing>
          <wp:inline distT="0" distB="0" distL="114300" distR="114300">
            <wp:extent cx="5264150" cy="2016125"/>
            <wp:effectExtent l="0" t="0" r="12700" b="317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第七步：生成开标报告</w:t>
      </w:r>
    </w:p>
    <w:p>
      <w:pPr>
        <w:ind w:firstLine="48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代理可将生成的开标记录表下载，格式为excle，中标候选人公示，需要将该表格作为附件公示。</w:t>
      </w:r>
    </w:p>
    <w:p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9865" cy="2014220"/>
            <wp:effectExtent l="0" t="0" r="6985" b="508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23120"/>
      <w:r>
        <w:rPr>
          <w:rFonts w:hint="eastAsia"/>
          <w:lang w:val="en-US" w:eastAsia="zh-CN"/>
        </w:rPr>
        <w:t>8.3 聊天互动</w:t>
      </w:r>
      <w:bookmarkEnd w:id="17"/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开标大厅左上角有聊天功能，点击后会展开聊天界面，代理界面，默认只显示群聊，当代理开启群聊后，投标人才会在群里发消息；代理可在群里开启提疑时间，投标人点击群里的【提出质疑】，可发质疑消息；代理需要询标时，需要在搜索框搜索对应的企业，搜索出的企业会显示在对话窗口，代理可以单独给投标人发消息，投标人聊天界面会出现与代理的聊天窗口，代理提出的询标疑问，投标人需要在10分钟内回答，否则按招标文件中约定的规则处理。</w:t>
      </w:r>
    </w:p>
    <w:p>
      <w:pPr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投标人不在线不可进行互动聊天，鼠标悬浮在投标人名称上时，会出现【禁言】图标，可控制该投标人群禁言：该企业不能再群里聊天，禁止私聊：禁止该投标人给代理发消息。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84195"/>
            <wp:effectExtent l="0" t="0" r="3175" b="190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8" w:name="_Toc26575"/>
      <w:r>
        <w:rPr>
          <w:rFonts w:hint="eastAsia"/>
          <w:lang w:val="en-US" w:eastAsia="zh-CN"/>
        </w:rPr>
        <w:t>中标候选人公示</w:t>
      </w:r>
      <w:bookmarkEnd w:id="18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开标时间过后，项目就可以发布中标候选人公示了。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我的公告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→发布公告，选择需要发布中标候选人公示的项目，公告类型选择中标候选人公示，即可进入中标候选人公示界面。</w:t>
      </w:r>
    </w:p>
    <w:p>
      <w:r>
        <w:drawing>
          <wp:inline distT="0" distB="0" distL="114300" distR="114300">
            <wp:extent cx="5272405" cy="2419350"/>
            <wp:effectExtent l="0" t="0" r="4445" b="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76755"/>
            <wp:effectExtent l="0" t="0" r="3810" b="444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公告标题：项目名称+中标候选人公示，如浦江三中文化长廊改造工程中标候选人公示。  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公告时间：可选择【现在】，该时间不影响发布时间，后期版本会去掉这个字段，本系统的所有公告公示，在审核完成后，自动发布到门户网站和推送到投标人界面。</w:t>
      </w:r>
    </w:p>
    <w:p>
      <w:r>
        <w:drawing>
          <wp:inline distT="0" distB="0" distL="114300" distR="114300">
            <wp:extent cx="5265420" cy="2456815"/>
            <wp:effectExtent l="0" t="0" r="11430" b="63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附件区，中标候选人公示，按照金华市的范围格式编辑好公示文档，上传pdf，进行线上签章；在开标大厅下载的开标记录表，完善后上传至附件区，都选择对外发布，投标人可见。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9" w:name="_Toc16098"/>
      <w:r>
        <w:rPr>
          <w:rFonts w:hint="eastAsia"/>
          <w:lang w:val="en-US" w:eastAsia="zh-CN"/>
        </w:rPr>
        <w:t>中标结果公告</w:t>
      </w:r>
      <w:bookmarkEnd w:id="19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中标候选人公示审核完成后，项目就可以发布中标结果公告了。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我的公告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→发布公告，选择需要发布中标结果公告的项目，公告类型选择中标结果公告，即可进入中标结果公告界面。</w:t>
      </w:r>
    </w:p>
    <w:p>
      <w:r>
        <w:drawing>
          <wp:inline distT="0" distB="0" distL="114300" distR="114300">
            <wp:extent cx="5272405" cy="2419350"/>
            <wp:effectExtent l="0" t="0" r="4445" b="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76755"/>
            <wp:effectExtent l="0" t="0" r="3810" b="444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公告标题：项目名称+中标结果公告，如浦江三中文化长廊改造工程中标结果公告。  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公告时间：可选择【现在】，该时间不影响发布时间，后期版本会去掉这个字段，本系统的所有公告公示，在审核完成后，自动发布到门户网站和推送到投标人界面。</w:t>
      </w:r>
    </w:p>
    <w:p>
      <w:r>
        <w:drawing>
          <wp:inline distT="0" distB="0" distL="114300" distR="114300">
            <wp:extent cx="5269865" cy="2291080"/>
            <wp:effectExtent l="0" t="0" r="6985" b="13970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中标价格：根据中标让利率，按规则计算出中标价格，单位万元。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附件区：中标结果公告，采用金华市给的模板编辑完成后，上传pdf格式文件，进行线上签章；选择对外发布，投标人可见。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中标通知书：按金华市的模板，结合当地交易中心要求(当地交易中心对盖章单位有不同要求，比如有的地区需要招标人盖章，有的不需要)，编辑好后上传线上签章，也可以线下该完章上传。选择</w:t>
      </w:r>
      <w:r>
        <w:rPr>
          <w:rFonts w:hint="eastAsia"/>
          <w:color w:val="FF0000"/>
          <w:lang w:val="en-US" w:eastAsia="zh-CN"/>
        </w:rPr>
        <w:t>不</w:t>
      </w:r>
      <w:r>
        <w:rPr>
          <w:rFonts w:hint="eastAsia"/>
          <w:lang w:val="en-US" w:eastAsia="zh-CN"/>
        </w:rPr>
        <w:t>对外发布，投标人可见。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0" w:name="_Toc14116"/>
      <w:r>
        <w:rPr>
          <w:rFonts w:hint="eastAsia"/>
          <w:lang w:val="en-US" w:eastAsia="zh-CN"/>
        </w:rPr>
        <w:t>合同订立</w:t>
      </w:r>
      <w:bookmarkEnd w:id="20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合同签订后，进行合同签订备案，需要将签订的合同扫描上传至系统。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在合同订立→新增合同，选择已经发布中标结果公告的项目，即可进入合同订立界面。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654935"/>
            <wp:effectExtent l="0" t="0" r="11430" b="12065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1" w:name="_Toc8539"/>
      <w:r>
        <w:rPr>
          <w:rFonts w:hint="eastAsia"/>
          <w:lang w:val="en-US" w:eastAsia="zh-CN"/>
        </w:rPr>
        <w:t>异常公告</w:t>
      </w:r>
      <w:bookmarkEnd w:id="21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项目在开标时间后，不论是在开标、发布中标候选人公示、中标结果公示、或合同订立，由于某些原因，需要取消招标的，可随时发布异常公告。</w:t>
      </w:r>
    </w:p>
    <w:p>
      <w:r>
        <w:drawing>
          <wp:inline distT="0" distB="0" distL="114300" distR="114300">
            <wp:extent cx="5126990" cy="2065655"/>
            <wp:effectExtent l="0" t="0" r="16510" b="1079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rcRect l="2758" t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我的公告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→发布公告，选择需要发布异常公告的项目，公告类型选择异常公告，即可进入异常公告界面。</w:t>
      </w:r>
    </w:p>
    <w:p>
      <w:pPr>
        <w:ind w:firstLine="480" w:firstLineChars="200"/>
        <w:rPr>
          <w:rFonts w:hint="default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注册、</w:t>
      </w:r>
      <w:r>
        <w:rPr>
          <w:rFonts w:hint="eastAsia"/>
          <w:sz w:val="24"/>
          <w:szCs w:val="32"/>
          <w:lang w:val="en-US" w:eastAsia="zh-CN"/>
        </w:rPr>
        <w:t>招标</w:t>
      </w:r>
      <w:r>
        <w:rPr>
          <w:rFonts w:hint="eastAsia"/>
          <w:sz w:val="24"/>
          <w:szCs w:val="32"/>
        </w:rPr>
        <w:t>及</w:t>
      </w:r>
      <w:r>
        <w:rPr>
          <w:rFonts w:hint="eastAsia"/>
          <w:sz w:val="24"/>
          <w:szCs w:val="32"/>
          <w:lang w:val="en-US" w:eastAsia="zh-CN"/>
        </w:rPr>
        <w:t>开</w:t>
      </w:r>
      <w:r>
        <w:rPr>
          <w:rFonts w:hint="eastAsia"/>
          <w:sz w:val="24"/>
          <w:szCs w:val="32"/>
        </w:rPr>
        <w:t>标</w:t>
      </w:r>
      <w:r>
        <w:rPr>
          <w:rFonts w:hint="eastAsia"/>
          <w:sz w:val="24"/>
          <w:szCs w:val="32"/>
          <w:lang w:val="en-US" w:eastAsia="zh-CN"/>
        </w:rPr>
        <w:t>等</w:t>
      </w:r>
      <w:r>
        <w:rPr>
          <w:rFonts w:hint="eastAsia"/>
          <w:sz w:val="24"/>
          <w:szCs w:val="32"/>
        </w:rPr>
        <w:t>过程中遇到问题，及时联系工作人员！</w:t>
      </w:r>
    </w:p>
    <w:p>
      <w:pPr>
        <w:spacing w:line="360" w:lineRule="auto"/>
        <w:ind w:firstLine="1200" w:firstLineChars="500"/>
        <w:jc w:val="left"/>
        <w:rPr>
          <w:b/>
          <w:bCs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陈勃宇</w:t>
      </w:r>
      <w:r>
        <w:rPr>
          <w:rFonts w:hint="eastAsia"/>
          <w:sz w:val="24"/>
          <w:szCs w:val="32"/>
        </w:rPr>
        <w:t xml:space="preserve">  </w:t>
      </w:r>
      <w:r>
        <w:rPr>
          <w:rFonts w:ascii="宋体" w:hAnsi="宋体" w:eastAsia="宋体" w:cs="宋体"/>
          <w:b/>
          <w:bCs/>
          <w:sz w:val="24"/>
          <w:szCs w:val="24"/>
        </w:rPr>
        <w:t>15715849802</w:t>
      </w:r>
    </w:p>
    <w:p>
      <w:pPr>
        <w:spacing w:line="360" w:lineRule="auto"/>
        <w:ind w:firstLine="1200" w:firstLineChars="500"/>
        <w:jc w:val="left"/>
        <w:rPr>
          <w:rFonts w:hint="eastAsia"/>
        </w:rPr>
      </w:pPr>
      <w:r>
        <w:rPr>
          <w:rFonts w:hint="eastAsia"/>
          <w:sz w:val="24"/>
          <w:szCs w:val="32"/>
        </w:rPr>
        <w:t>卿小虎  15202908772</w:t>
      </w: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L3o+8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wpMUyj4pfv3y4/&#10;fl1+fiU4g0C1C3PE7RwiY/PWNmib4TzgMPFuSq/TF4wI/JD3fJVXNJHwdGk2nc3GcHH4hg3ws8fr&#10;zof4TlhNkpFTj/q1srLTNsQudAhJ2YzdSKXaGipDapB4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gvej7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/>
      </w:rPr>
      <w:t>金华市限额以下交易工程在线—</w:t>
    </w:r>
    <w:r>
      <w:rPr>
        <w:rFonts w:hint="eastAsia"/>
        <w:lang w:val="en-US" w:eastAsia="zh-CN"/>
      </w:rPr>
      <w:t>招</w:t>
    </w:r>
    <w:r>
      <w:rPr>
        <w:rFonts w:hint="eastAsia"/>
      </w:rPr>
      <w:t>标人</w:t>
    </w:r>
    <w:r>
      <w:rPr>
        <w:rFonts w:hint="eastAsia"/>
        <w:lang w:val="en-US" w:eastAsia="zh-CN"/>
      </w:rPr>
      <w:t>/代理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746495"/>
    <w:multiLevelType w:val="multilevel"/>
    <w:tmpl w:val="01746495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9AD79F"/>
    <w:multiLevelType w:val="singleLevel"/>
    <w:tmpl w:val="089AD79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mNDRhZmIyNmI0MWUxMDYwYzVhMzk5NzUxZDVhYTAifQ=="/>
  </w:docVars>
  <w:rsids>
    <w:rsidRoot w:val="611C5DCB"/>
    <w:rsid w:val="0021314F"/>
    <w:rsid w:val="003706B5"/>
    <w:rsid w:val="004238B0"/>
    <w:rsid w:val="00526F86"/>
    <w:rsid w:val="00572187"/>
    <w:rsid w:val="005D0122"/>
    <w:rsid w:val="005D4939"/>
    <w:rsid w:val="0067207A"/>
    <w:rsid w:val="00AB7E4E"/>
    <w:rsid w:val="00D15DFE"/>
    <w:rsid w:val="00D67FC9"/>
    <w:rsid w:val="00F07CEC"/>
    <w:rsid w:val="0F2F6D08"/>
    <w:rsid w:val="17FB49D5"/>
    <w:rsid w:val="1D9F7A7A"/>
    <w:rsid w:val="1ECB22A0"/>
    <w:rsid w:val="275A29CF"/>
    <w:rsid w:val="28D46CA7"/>
    <w:rsid w:val="47ED39D9"/>
    <w:rsid w:val="5975000E"/>
    <w:rsid w:val="611C5DCB"/>
    <w:rsid w:val="67CC624A"/>
    <w:rsid w:val="6D28663E"/>
    <w:rsid w:val="76A1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 w:val="0"/>
      <w:keepLines w:val="0"/>
      <w:spacing w:before="300" w:after="30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1"/>
    </w:pPr>
    <w:rPr>
      <w:rFonts w:ascii="Arial" w:hAnsi="Arial" w:eastAsia="宋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4"/>
    <w:qFormat/>
    <w:uiPriority w:val="0"/>
    <w:rPr>
      <w:kern w:val="2"/>
      <w:sz w:val="18"/>
      <w:szCs w:val="18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4769</Words>
  <Characters>4929</Characters>
  <Lines>5</Lines>
  <Paragraphs>1</Paragraphs>
  <TotalTime>0</TotalTime>
  <ScaleCrop>false</ScaleCrop>
  <LinksUpToDate>false</LinksUpToDate>
  <CharactersWithSpaces>5061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2022-02-24T02:54:00Z</dcterms:created>
  <dc:creator>般若波罗蜜</dc:creator>
  <cp:lastModifiedBy>般若波罗蜜</cp:lastModifiedBy>
  <dcterms:modified xsi:type="dcterms:W3CDTF">2022-05-07T07:17:33Z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906AA5C5DF39488E9007F308C88F8174</vt:lpwstr>
  </property>
</Properties>
</file>