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婺城区油茶产业发展三年（2023-2025年）行动方案（征求意见稿）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b/>
          <w:bCs/>
          <w:sz w:val="44"/>
          <w:szCs w:val="44"/>
          <w:lang w:val="en-US" w:eastAsia="zh-CN"/>
        </w:rPr>
      </w:pPr>
    </w:p>
    <w:p>
      <w:pPr>
        <w:ind w:firstLine="600" w:firstLineChars="200"/>
        <w:jc w:val="both"/>
        <w:rPr>
          <w:rFonts w:hint="eastAsia"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30"/>
          <w:szCs w:val="30"/>
          <w:lang w:val="en-US" w:eastAsia="zh-CN"/>
        </w:rPr>
        <w:t>油茶是我国特有的木本食用油料树种，迄今已有 2300 多年的栽培和利用历史，与油橄榄、油棕、椰子并称为世界四大木本油料植物。近年来，浙江省十分重视油茶产业发展，把油茶种植纳入粮油保供范围，相继出台了《关于增强油料供给保障能力促进产业高质量发展的实施意见》、《浙江省油茶生产保供实施方案（2021-2025）的通知》、《关于科学利用林地资源促进木本油料和林下经济高质量发展的实施意见的通知》等系列扶持政策，为发展油茶种植提供用地、种苗、资金、技术等要素的政策保障。为贯彻落实省政府关于促进油茶产业发展有关文件精神，结合婺城实际，特制定本方案。</w:t>
      </w:r>
    </w:p>
    <w:p>
      <w:pPr>
        <w:numPr>
          <w:ilvl w:val="0"/>
          <w:numId w:val="1"/>
        </w:numPr>
        <w:ind w:left="630" w:leftChars="0" w:firstLineChars="0"/>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指导思想</w:t>
      </w:r>
    </w:p>
    <w:p>
      <w:pPr>
        <w:ind w:firstLine="600" w:firstLineChars="200"/>
        <w:jc w:val="both"/>
        <w:rPr>
          <w:rFonts w:hint="default" w:ascii="方正仿宋_GB2312" w:hAnsi="方正仿宋_GB2312" w:eastAsia="方正仿宋_GB2312" w:cs="方正仿宋_GB2312"/>
          <w:b w:val="0"/>
          <w:bCs w:val="0"/>
          <w:sz w:val="28"/>
          <w:szCs w:val="28"/>
          <w:lang w:val="en-US" w:eastAsia="zh-CN"/>
        </w:rPr>
      </w:pPr>
      <w:r>
        <w:rPr>
          <w:rFonts w:hint="eastAsia" w:ascii="方正仿宋_GB2312" w:hAnsi="方正仿宋_GB2312" w:eastAsia="方正仿宋_GB2312" w:cs="方正仿宋_GB2312"/>
          <w:b w:val="0"/>
          <w:bCs w:val="0"/>
          <w:sz w:val="30"/>
          <w:szCs w:val="30"/>
          <w:lang w:val="en-US" w:eastAsia="zh-CN"/>
        </w:rPr>
        <w:t>以习近平新时代中国特色社会主义思想为指导，忠实践行“八八战略”，奋力打造“重要窗口”，牢固树立新发展理念，聚焦高质量发展、高效益富民，紧紧围绕保障国家粮油战备安全、丰富绿色林产品有效供给和实现山区林农共同富裕等目标。加快构建区域优势明显、产业特色突出、利益联结紧密、市场竞争力强的油茶产业集聚区，为助力浙江省建设共同富裕示范区，推进山区高质量发展，打造全国林业践行“绿水青山就是金山银山”理念先行示范省做出婺城贡献。</w:t>
      </w:r>
    </w:p>
    <w:p>
      <w:pPr>
        <w:numPr>
          <w:ilvl w:val="0"/>
          <w:numId w:val="1"/>
        </w:numPr>
        <w:ind w:left="630" w:leftChars="0" w:firstLineChars="0"/>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工作原则</w:t>
      </w:r>
    </w:p>
    <w:p>
      <w:pPr>
        <w:ind w:firstLine="600" w:firstLineChars="200"/>
        <w:jc w:val="both"/>
        <w:rPr>
          <w:rFonts w:hint="default" w:ascii="方正仿宋_GB2312" w:hAnsi="方正仿宋_GB2312" w:eastAsia="方正仿宋_GB2312" w:cs="方正仿宋_GB2312"/>
          <w:b w:val="0"/>
          <w:bCs w:val="0"/>
          <w:sz w:val="30"/>
          <w:szCs w:val="30"/>
          <w:lang w:val="en-US" w:eastAsia="zh-CN"/>
        </w:rPr>
      </w:pPr>
      <w:r>
        <w:rPr>
          <w:rFonts w:hint="default" w:ascii="方正仿宋_GB2312" w:hAnsi="方正仿宋_GB2312" w:eastAsia="方正仿宋_GB2312" w:cs="方正仿宋_GB2312"/>
          <w:b w:val="0"/>
          <w:bCs w:val="0"/>
          <w:sz w:val="30"/>
          <w:szCs w:val="30"/>
          <w:lang w:val="en-US" w:eastAsia="zh-CN"/>
        </w:rPr>
        <w:t>1.坚持林农自愿，政府扶持。要在尊重农户意愿前提下，加强</w:t>
      </w:r>
      <w:r>
        <w:rPr>
          <w:rFonts w:hint="eastAsia" w:ascii="方正仿宋_GB2312" w:hAnsi="方正仿宋_GB2312" w:eastAsia="方正仿宋_GB2312" w:cs="方正仿宋_GB2312"/>
          <w:b w:val="0"/>
          <w:bCs w:val="0"/>
          <w:sz w:val="30"/>
          <w:szCs w:val="30"/>
          <w:lang w:val="en-US" w:eastAsia="zh-CN"/>
        </w:rPr>
        <w:t>技术</w:t>
      </w:r>
      <w:r>
        <w:rPr>
          <w:rFonts w:hint="default" w:ascii="方正仿宋_GB2312" w:hAnsi="方正仿宋_GB2312" w:eastAsia="方正仿宋_GB2312" w:cs="方正仿宋_GB2312"/>
          <w:b w:val="0"/>
          <w:bCs w:val="0"/>
          <w:sz w:val="30"/>
          <w:szCs w:val="30"/>
          <w:lang w:val="en-US" w:eastAsia="zh-CN"/>
        </w:rPr>
        <w:t>指导，提供</w:t>
      </w:r>
      <w:r>
        <w:rPr>
          <w:rFonts w:hint="eastAsia" w:ascii="方正仿宋_GB2312" w:hAnsi="方正仿宋_GB2312" w:eastAsia="方正仿宋_GB2312" w:cs="方正仿宋_GB2312"/>
          <w:b w:val="0"/>
          <w:bCs w:val="0"/>
          <w:sz w:val="30"/>
          <w:szCs w:val="30"/>
          <w:lang w:val="en-US" w:eastAsia="zh-CN"/>
        </w:rPr>
        <w:t>政策</w:t>
      </w:r>
      <w:r>
        <w:rPr>
          <w:rFonts w:hint="default" w:ascii="方正仿宋_GB2312" w:hAnsi="方正仿宋_GB2312" w:eastAsia="方正仿宋_GB2312" w:cs="方正仿宋_GB2312"/>
          <w:b w:val="0"/>
          <w:bCs w:val="0"/>
          <w:sz w:val="30"/>
          <w:szCs w:val="30"/>
          <w:lang w:val="en-US" w:eastAsia="zh-CN"/>
        </w:rPr>
        <w:t>服务，营造公平健康的</w:t>
      </w:r>
      <w:r>
        <w:rPr>
          <w:rFonts w:hint="eastAsia" w:ascii="方正仿宋_GB2312" w:hAnsi="方正仿宋_GB2312" w:eastAsia="方正仿宋_GB2312" w:cs="方正仿宋_GB2312"/>
          <w:b w:val="0"/>
          <w:bCs w:val="0"/>
          <w:sz w:val="30"/>
          <w:szCs w:val="30"/>
          <w:lang w:val="en-US" w:eastAsia="zh-CN"/>
        </w:rPr>
        <w:t>产业</w:t>
      </w:r>
      <w:r>
        <w:rPr>
          <w:rFonts w:hint="default" w:ascii="方正仿宋_GB2312" w:hAnsi="方正仿宋_GB2312" w:eastAsia="方正仿宋_GB2312" w:cs="方正仿宋_GB2312"/>
          <w:b w:val="0"/>
          <w:bCs w:val="0"/>
          <w:sz w:val="30"/>
          <w:szCs w:val="30"/>
          <w:lang w:val="en-US" w:eastAsia="zh-CN"/>
        </w:rPr>
        <w:t>发展环境。</w:t>
      </w:r>
    </w:p>
    <w:p>
      <w:pPr>
        <w:ind w:firstLine="600" w:firstLineChars="200"/>
        <w:jc w:val="both"/>
        <w:rPr>
          <w:rFonts w:hint="default" w:ascii="方正仿宋_GB2312" w:hAnsi="方正仿宋_GB2312" w:eastAsia="方正仿宋_GB2312" w:cs="方正仿宋_GB2312"/>
          <w:b w:val="0"/>
          <w:bCs w:val="0"/>
          <w:sz w:val="30"/>
          <w:szCs w:val="30"/>
          <w:lang w:val="en-US" w:eastAsia="zh-CN"/>
        </w:rPr>
      </w:pPr>
      <w:r>
        <w:rPr>
          <w:rFonts w:hint="default" w:ascii="方正仿宋_GB2312" w:hAnsi="方正仿宋_GB2312" w:eastAsia="方正仿宋_GB2312" w:cs="方正仿宋_GB2312"/>
          <w:b w:val="0"/>
          <w:bCs w:val="0"/>
          <w:sz w:val="30"/>
          <w:szCs w:val="30"/>
          <w:lang w:val="en-US" w:eastAsia="zh-CN"/>
        </w:rPr>
        <w:t>2. 坚持</w:t>
      </w:r>
      <w:r>
        <w:rPr>
          <w:rFonts w:hint="eastAsia" w:ascii="方正仿宋_GB2312" w:hAnsi="方正仿宋_GB2312" w:eastAsia="方正仿宋_GB2312" w:cs="方正仿宋_GB2312"/>
          <w:b w:val="0"/>
          <w:bCs w:val="0"/>
          <w:sz w:val="30"/>
          <w:szCs w:val="30"/>
          <w:lang w:val="en-US" w:eastAsia="zh-CN"/>
        </w:rPr>
        <w:t>科技引领</w:t>
      </w:r>
      <w:r>
        <w:rPr>
          <w:rFonts w:hint="default" w:ascii="方正仿宋_GB2312" w:hAnsi="方正仿宋_GB2312" w:eastAsia="方正仿宋_GB2312" w:cs="方正仿宋_GB2312"/>
          <w:b w:val="0"/>
          <w:bCs w:val="0"/>
          <w:sz w:val="30"/>
          <w:szCs w:val="30"/>
          <w:lang w:val="en-US" w:eastAsia="zh-CN"/>
        </w:rPr>
        <w:t>，</w:t>
      </w:r>
      <w:r>
        <w:rPr>
          <w:rFonts w:hint="eastAsia" w:ascii="方正仿宋_GB2312" w:hAnsi="方正仿宋_GB2312" w:eastAsia="方正仿宋_GB2312" w:cs="方正仿宋_GB2312"/>
          <w:b w:val="0"/>
          <w:bCs w:val="0"/>
          <w:sz w:val="30"/>
          <w:szCs w:val="30"/>
          <w:lang w:val="en-US" w:eastAsia="zh-CN"/>
        </w:rPr>
        <w:t>提质增效</w:t>
      </w:r>
      <w:r>
        <w:rPr>
          <w:rFonts w:hint="default" w:ascii="方正仿宋_GB2312" w:hAnsi="方正仿宋_GB2312" w:eastAsia="方正仿宋_GB2312" w:cs="方正仿宋_GB2312"/>
          <w:b w:val="0"/>
          <w:bCs w:val="0"/>
          <w:sz w:val="30"/>
          <w:szCs w:val="30"/>
          <w:lang w:val="en-US" w:eastAsia="zh-CN"/>
        </w:rPr>
        <w:t>。要</w:t>
      </w:r>
      <w:r>
        <w:rPr>
          <w:rFonts w:hint="eastAsia" w:ascii="方正仿宋_GB2312" w:hAnsi="方正仿宋_GB2312" w:eastAsia="方正仿宋_GB2312" w:cs="方正仿宋_GB2312"/>
          <w:b w:val="0"/>
          <w:bCs w:val="0"/>
          <w:sz w:val="30"/>
          <w:szCs w:val="30"/>
          <w:lang w:val="en-US" w:eastAsia="zh-CN"/>
        </w:rPr>
        <w:t>充分发挥科学技术在生产中</w:t>
      </w:r>
      <w:r>
        <w:rPr>
          <w:rFonts w:hint="default" w:ascii="方正仿宋_GB2312" w:hAnsi="方正仿宋_GB2312" w:eastAsia="方正仿宋_GB2312" w:cs="方正仿宋_GB2312"/>
          <w:b w:val="0"/>
          <w:bCs w:val="0"/>
          <w:sz w:val="30"/>
          <w:szCs w:val="30"/>
          <w:lang w:val="en-US" w:eastAsia="zh-CN"/>
        </w:rPr>
        <w:t>的决定性作用，全面推行标准化生产</w:t>
      </w:r>
      <w:r>
        <w:rPr>
          <w:rFonts w:hint="eastAsia" w:ascii="方正仿宋_GB2312" w:hAnsi="方正仿宋_GB2312" w:eastAsia="方正仿宋_GB2312" w:cs="方正仿宋_GB2312"/>
          <w:b w:val="0"/>
          <w:bCs w:val="0"/>
          <w:sz w:val="30"/>
          <w:szCs w:val="30"/>
          <w:lang w:val="en-US" w:eastAsia="zh-CN"/>
        </w:rPr>
        <w:t>。</w:t>
      </w:r>
      <w:r>
        <w:rPr>
          <w:rFonts w:hint="default" w:ascii="方正仿宋_GB2312" w:hAnsi="方正仿宋_GB2312" w:eastAsia="方正仿宋_GB2312" w:cs="方正仿宋_GB2312"/>
          <w:b w:val="0"/>
          <w:bCs w:val="0"/>
          <w:sz w:val="30"/>
          <w:szCs w:val="30"/>
          <w:lang w:val="en-US" w:eastAsia="zh-CN"/>
        </w:rPr>
        <w:t>加快科技成果</w:t>
      </w:r>
      <w:r>
        <w:rPr>
          <w:rFonts w:hint="eastAsia" w:ascii="方正仿宋_GB2312" w:hAnsi="方正仿宋_GB2312" w:eastAsia="方正仿宋_GB2312" w:cs="方正仿宋_GB2312"/>
          <w:b w:val="0"/>
          <w:bCs w:val="0"/>
          <w:sz w:val="30"/>
          <w:szCs w:val="30"/>
          <w:lang w:val="en-US" w:eastAsia="zh-CN"/>
        </w:rPr>
        <w:t>应用</w:t>
      </w:r>
      <w:r>
        <w:rPr>
          <w:rFonts w:hint="default" w:ascii="方正仿宋_GB2312" w:hAnsi="方正仿宋_GB2312" w:eastAsia="方正仿宋_GB2312" w:cs="方正仿宋_GB2312"/>
          <w:b w:val="0"/>
          <w:bCs w:val="0"/>
          <w:sz w:val="30"/>
          <w:szCs w:val="30"/>
          <w:lang w:val="en-US" w:eastAsia="zh-CN"/>
        </w:rPr>
        <w:t>和示范推广，着力提</w:t>
      </w:r>
      <w:r>
        <w:rPr>
          <w:rFonts w:hint="eastAsia" w:ascii="方正仿宋_GB2312" w:hAnsi="方正仿宋_GB2312" w:eastAsia="方正仿宋_GB2312" w:cs="方正仿宋_GB2312"/>
          <w:b w:val="0"/>
          <w:bCs w:val="0"/>
          <w:sz w:val="30"/>
          <w:szCs w:val="30"/>
          <w:lang w:val="en-US" w:eastAsia="zh-CN"/>
        </w:rPr>
        <w:t>升油茶</w:t>
      </w:r>
      <w:r>
        <w:rPr>
          <w:rFonts w:hint="default" w:ascii="方正仿宋_GB2312" w:hAnsi="方正仿宋_GB2312" w:eastAsia="方正仿宋_GB2312" w:cs="方正仿宋_GB2312"/>
          <w:b w:val="0"/>
          <w:bCs w:val="0"/>
          <w:sz w:val="30"/>
          <w:szCs w:val="30"/>
          <w:lang w:val="en-US" w:eastAsia="zh-CN"/>
        </w:rPr>
        <w:t>生产和加工等环节的技术</w:t>
      </w:r>
      <w:r>
        <w:rPr>
          <w:rFonts w:hint="eastAsia" w:ascii="方正仿宋_GB2312" w:hAnsi="方正仿宋_GB2312" w:eastAsia="方正仿宋_GB2312" w:cs="方正仿宋_GB2312"/>
          <w:b w:val="0"/>
          <w:bCs w:val="0"/>
          <w:sz w:val="30"/>
          <w:szCs w:val="30"/>
          <w:lang w:val="en-US" w:eastAsia="zh-CN"/>
        </w:rPr>
        <w:t>水平，提高油茶产品的品质和经济效益</w:t>
      </w:r>
      <w:r>
        <w:rPr>
          <w:rFonts w:hint="default" w:ascii="方正仿宋_GB2312" w:hAnsi="方正仿宋_GB2312" w:eastAsia="方正仿宋_GB2312" w:cs="方正仿宋_GB2312"/>
          <w:b w:val="0"/>
          <w:bCs w:val="0"/>
          <w:sz w:val="30"/>
          <w:szCs w:val="30"/>
          <w:lang w:val="en-US" w:eastAsia="zh-CN"/>
        </w:rPr>
        <w:t>。</w:t>
      </w:r>
    </w:p>
    <w:p>
      <w:pPr>
        <w:ind w:firstLine="600" w:firstLineChars="200"/>
        <w:jc w:val="both"/>
        <w:rPr>
          <w:rFonts w:hint="default" w:ascii="方正仿宋_GB2312" w:hAnsi="方正仿宋_GB2312" w:eastAsia="方正仿宋_GB2312" w:cs="方正仿宋_GB2312"/>
          <w:b w:val="0"/>
          <w:bCs w:val="0"/>
          <w:sz w:val="30"/>
          <w:szCs w:val="30"/>
          <w:lang w:val="en-US" w:eastAsia="zh-CN"/>
        </w:rPr>
      </w:pPr>
      <w:r>
        <w:rPr>
          <w:rFonts w:hint="default" w:ascii="方正仿宋_GB2312" w:hAnsi="方正仿宋_GB2312" w:eastAsia="方正仿宋_GB2312" w:cs="方正仿宋_GB2312"/>
          <w:b w:val="0"/>
          <w:bCs w:val="0"/>
          <w:sz w:val="30"/>
          <w:szCs w:val="30"/>
          <w:lang w:val="en-US" w:eastAsia="zh-CN"/>
        </w:rPr>
        <w:t>3.坚持因地制宜，突出重点。要</w:t>
      </w:r>
      <w:r>
        <w:rPr>
          <w:rFonts w:hint="eastAsia" w:ascii="方正仿宋_GB2312" w:hAnsi="方正仿宋_GB2312" w:eastAsia="方正仿宋_GB2312" w:cs="方正仿宋_GB2312"/>
          <w:b w:val="0"/>
          <w:bCs w:val="0"/>
          <w:sz w:val="30"/>
          <w:szCs w:val="30"/>
          <w:lang w:val="en-US" w:eastAsia="zh-CN"/>
        </w:rPr>
        <w:t>结合各乡镇林地资源</w:t>
      </w:r>
      <w:r>
        <w:rPr>
          <w:rFonts w:hint="default" w:ascii="方正仿宋_GB2312" w:hAnsi="方正仿宋_GB2312" w:eastAsia="方正仿宋_GB2312" w:cs="方正仿宋_GB2312"/>
          <w:b w:val="0"/>
          <w:bCs w:val="0"/>
          <w:sz w:val="30"/>
          <w:szCs w:val="30"/>
          <w:lang w:val="en-US" w:eastAsia="zh-CN"/>
        </w:rPr>
        <w:t>，分</w:t>
      </w:r>
      <w:r>
        <w:rPr>
          <w:rFonts w:hint="eastAsia" w:ascii="方正仿宋_GB2312" w:hAnsi="方正仿宋_GB2312" w:eastAsia="方正仿宋_GB2312" w:cs="方正仿宋_GB2312"/>
          <w:b w:val="0"/>
          <w:bCs w:val="0"/>
          <w:sz w:val="30"/>
          <w:szCs w:val="30"/>
          <w:lang w:val="en-US" w:eastAsia="zh-CN"/>
        </w:rPr>
        <w:t>区域分地块，因地制宜统筹开展油茶造林工作。依托现有产业基础</w:t>
      </w:r>
      <w:r>
        <w:rPr>
          <w:rFonts w:hint="default" w:ascii="方正仿宋_GB2312" w:hAnsi="方正仿宋_GB2312" w:eastAsia="方正仿宋_GB2312" w:cs="方正仿宋_GB2312"/>
          <w:b w:val="0"/>
          <w:bCs w:val="0"/>
          <w:sz w:val="30"/>
          <w:szCs w:val="30"/>
          <w:lang w:val="en-US" w:eastAsia="zh-CN"/>
        </w:rPr>
        <w:t>，</w:t>
      </w:r>
      <w:r>
        <w:rPr>
          <w:rFonts w:hint="eastAsia" w:ascii="方正仿宋_GB2312" w:hAnsi="方正仿宋_GB2312" w:eastAsia="方正仿宋_GB2312" w:cs="方正仿宋_GB2312"/>
          <w:b w:val="0"/>
          <w:bCs w:val="0"/>
          <w:sz w:val="30"/>
          <w:szCs w:val="30"/>
          <w:lang w:val="en-US" w:eastAsia="zh-CN"/>
        </w:rPr>
        <w:t>重点打造油茶产业特色乡镇，鼓励集中连片推进、</w:t>
      </w:r>
      <w:r>
        <w:rPr>
          <w:rFonts w:hint="default" w:ascii="方正仿宋_GB2312" w:hAnsi="方正仿宋_GB2312" w:eastAsia="方正仿宋_GB2312" w:cs="方正仿宋_GB2312"/>
          <w:b w:val="0"/>
          <w:bCs w:val="0"/>
          <w:sz w:val="30"/>
          <w:szCs w:val="30"/>
          <w:lang w:val="en-US" w:eastAsia="zh-CN"/>
        </w:rPr>
        <w:t>规模经营</w:t>
      </w:r>
      <w:r>
        <w:rPr>
          <w:rFonts w:hint="eastAsia" w:ascii="方正仿宋_GB2312" w:hAnsi="方正仿宋_GB2312" w:eastAsia="方正仿宋_GB2312" w:cs="方正仿宋_GB2312"/>
          <w:b w:val="0"/>
          <w:bCs w:val="0"/>
          <w:sz w:val="30"/>
          <w:szCs w:val="30"/>
          <w:lang w:val="en-US" w:eastAsia="zh-CN"/>
        </w:rPr>
        <w:t>，</w:t>
      </w:r>
      <w:r>
        <w:rPr>
          <w:rFonts w:hint="default" w:ascii="方正仿宋_GB2312" w:hAnsi="方正仿宋_GB2312" w:eastAsia="方正仿宋_GB2312" w:cs="方正仿宋_GB2312"/>
          <w:b w:val="0"/>
          <w:bCs w:val="0"/>
          <w:sz w:val="30"/>
          <w:szCs w:val="30"/>
          <w:lang w:val="en-US" w:eastAsia="zh-CN"/>
        </w:rPr>
        <w:t>走</w:t>
      </w:r>
      <w:r>
        <w:rPr>
          <w:rFonts w:hint="eastAsia" w:ascii="方正仿宋_GB2312" w:hAnsi="方正仿宋_GB2312" w:eastAsia="方正仿宋_GB2312" w:cs="方正仿宋_GB2312"/>
          <w:b w:val="0"/>
          <w:bCs w:val="0"/>
          <w:sz w:val="30"/>
          <w:szCs w:val="30"/>
          <w:lang w:val="en-US" w:eastAsia="zh-CN"/>
        </w:rPr>
        <w:t>集约化、规模化的产业</w:t>
      </w:r>
      <w:r>
        <w:rPr>
          <w:rFonts w:hint="default" w:ascii="方正仿宋_GB2312" w:hAnsi="方正仿宋_GB2312" w:eastAsia="方正仿宋_GB2312" w:cs="方正仿宋_GB2312"/>
          <w:b w:val="0"/>
          <w:bCs w:val="0"/>
          <w:sz w:val="30"/>
          <w:szCs w:val="30"/>
          <w:lang w:val="en-US" w:eastAsia="zh-CN"/>
        </w:rPr>
        <w:t>发展之路。</w:t>
      </w:r>
    </w:p>
    <w:p>
      <w:pPr>
        <w:ind w:firstLine="600" w:firstLineChars="200"/>
        <w:jc w:val="both"/>
        <w:rPr>
          <w:rFonts w:hint="default" w:ascii="方正仿宋_GB2312" w:hAnsi="方正仿宋_GB2312" w:eastAsia="方正仿宋_GB2312" w:cs="方正仿宋_GB2312"/>
          <w:b w:val="0"/>
          <w:bCs w:val="0"/>
          <w:sz w:val="30"/>
          <w:szCs w:val="30"/>
          <w:lang w:val="en-US" w:eastAsia="zh-CN"/>
        </w:rPr>
      </w:pPr>
      <w:r>
        <w:rPr>
          <w:rFonts w:hint="default" w:ascii="方正仿宋_GB2312" w:hAnsi="方正仿宋_GB2312" w:eastAsia="方正仿宋_GB2312" w:cs="方正仿宋_GB2312"/>
          <w:b w:val="0"/>
          <w:bCs w:val="0"/>
          <w:sz w:val="30"/>
          <w:szCs w:val="30"/>
          <w:lang w:val="en-US" w:eastAsia="zh-CN"/>
        </w:rPr>
        <w:t>4.坚持生态安全，绿色发展。要根据</w:t>
      </w:r>
      <w:r>
        <w:rPr>
          <w:rFonts w:hint="eastAsia" w:ascii="方正仿宋_GB2312" w:hAnsi="方正仿宋_GB2312" w:eastAsia="方正仿宋_GB2312" w:cs="方正仿宋_GB2312"/>
          <w:b w:val="0"/>
          <w:bCs w:val="0"/>
          <w:sz w:val="30"/>
          <w:szCs w:val="30"/>
          <w:lang w:val="en-US" w:eastAsia="zh-CN"/>
        </w:rPr>
        <w:t>油茶的</w:t>
      </w:r>
      <w:r>
        <w:rPr>
          <w:rFonts w:hint="default" w:ascii="方正仿宋_GB2312" w:hAnsi="方正仿宋_GB2312" w:eastAsia="方正仿宋_GB2312" w:cs="方正仿宋_GB2312"/>
          <w:b w:val="0"/>
          <w:bCs w:val="0"/>
          <w:sz w:val="30"/>
          <w:szCs w:val="30"/>
          <w:lang w:val="en-US" w:eastAsia="zh-CN"/>
        </w:rPr>
        <w:t>生态学特性</w:t>
      </w:r>
      <w:r>
        <w:rPr>
          <w:rFonts w:hint="eastAsia" w:ascii="方正仿宋_GB2312" w:hAnsi="方正仿宋_GB2312" w:eastAsia="方正仿宋_GB2312" w:cs="方正仿宋_GB2312"/>
          <w:b w:val="0"/>
          <w:bCs w:val="0"/>
          <w:sz w:val="30"/>
          <w:szCs w:val="30"/>
          <w:lang w:val="en-US" w:eastAsia="zh-CN"/>
        </w:rPr>
        <w:t>和生长所需</w:t>
      </w:r>
      <w:r>
        <w:rPr>
          <w:rFonts w:hint="default" w:ascii="方正仿宋_GB2312" w:hAnsi="方正仿宋_GB2312" w:eastAsia="方正仿宋_GB2312" w:cs="方正仿宋_GB2312"/>
          <w:b w:val="0"/>
          <w:bCs w:val="0"/>
          <w:sz w:val="30"/>
          <w:szCs w:val="30"/>
          <w:lang w:val="en-US" w:eastAsia="zh-CN"/>
        </w:rPr>
        <w:t>立地条件，合理利用林地空间，严格把控投入品管理，确保产品质量安全，防止水土流失和</w:t>
      </w:r>
      <w:r>
        <w:rPr>
          <w:rFonts w:hint="eastAsia" w:ascii="方正仿宋_GB2312" w:hAnsi="方正仿宋_GB2312" w:eastAsia="方正仿宋_GB2312" w:cs="方正仿宋_GB2312"/>
          <w:b w:val="0"/>
          <w:bCs w:val="0"/>
          <w:sz w:val="30"/>
          <w:szCs w:val="30"/>
          <w:lang w:val="en-US" w:eastAsia="zh-CN"/>
        </w:rPr>
        <w:t>环境污染</w:t>
      </w:r>
      <w:r>
        <w:rPr>
          <w:rFonts w:hint="default" w:ascii="方正仿宋_GB2312" w:hAnsi="方正仿宋_GB2312" w:eastAsia="方正仿宋_GB2312" w:cs="方正仿宋_GB2312"/>
          <w:b w:val="0"/>
          <w:bCs w:val="0"/>
          <w:sz w:val="30"/>
          <w:szCs w:val="30"/>
          <w:lang w:val="en-US" w:eastAsia="zh-CN"/>
        </w:rPr>
        <w:t>，实现</w:t>
      </w:r>
      <w:r>
        <w:rPr>
          <w:rFonts w:hint="eastAsia" w:ascii="方正仿宋_GB2312" w:hAnsi="方正仿宋_GB2312" w:eastAsia="方正仿宋_GB2312" w:cs="方正仿宋_GB2312"/>
          <w:b w:val="0"/>
          <w:bCs w:val="0"/>
          <w:sz w:val="30"/>
          <w:szCs w:val="30"/>
          <w:lang w:val="en-US" w:eastAsia="zh-CN"/>
        </w:rPr>
        <w:t>油茶产业健康可持续发展</w:t>
      </w:r>
      <w:r>
        <w:rPr>
          <w:rFonts w:hint="default" w:ascii="方正仿宋_GB2312" w:hAnsi="方正仿宋_GB2312" w:eastAsia="方正仿宋_GB2312" w:cs="方正仿宋_GB2312"/>
          <w:b w:val="0"/>
          <w:bCs w:val="0"/>
          <w:sz w:val="30"/>
          <w:szCs w:val="30"/>
          <w:lang w:val="en-US" w:eastAsia="zh-CN"/>
        </w:rPr>
        <w:t>。</w:t>
      </w:r>
    </w:p>
    <w:p>
      <w:pPr>
        <w:ind w:firstLine="600" w:firstLineChars="200"/>
        <w:jc w:val="both"/>
        <w:rPr>
          <w:rFonts w:hint="default" w:ascii="方正仿宋_GB2312" w:hAnsi="方正仿宋_GB2312" w:eastAsia="方正仿宋_GB2312" w:cs="方正仿宋_GB2312"/>
          <w:b w:val="0"/>
          <w:bCs w:val="0"/>
          <w:sz w:val="30"/>
          <w:szCs w:val="30"/>
          <w:lang w:val="en-US" w:eastAsia="zh-CN"/>
        </w:rPr>
      </w:pPr>
      <w:r>
        <w:rPr>
          <w:rFonts w:hint="default" w:ascii="方正仿宋_GB2312" w:hAnsi="方正仿宋_GB2312" w:eastAsia="方正仿宋_GB2312" w:cs="方正仿宋_GB2312"/>
          <w:b w:val="0"/>
          <w:bCs w:val="0"/>
          <w:sz w:val="30"/>
          <w:szCs w:val="30"/>
          <w:lang w:val="en-US" w:eastAsia="zh-CN"/>
        </w:rPr>
        <w:t>5. 坚持</w:t>
      </w:r>
      <w:r>
        <w:rPr>
          <w:rFonts w:hint="eastAsia" w:ascii="方正仿宋_GB2312" w:hAnsi="方正仿宋_GB2312" w:eastAsia="方正仿宋_GB2312" w:cs="方正仿宋_GB2312"/>
          <w:b w:val="0"/>
          <w:bCs w:val="0"/>
          <w:sz w:val="30"/>
          <w:szCs w:val="30"/>
          <w:lang w:val="en-US" w:eastAsia="zh-CN"/>
        </w:rPr>
        <w:t>带动</w:t>
      </w:r>
      <w:r>
        <w:rPr>
          <w:rFonts w:hint="default" w:ascii="方正仿宋_GB2312" w:hAnsi="方正仿宋_GB2312" w:eastAsia="方正仿宋_GB2312" w:cs="方正仿宋_GB2312"/>
          <w:b w:val="0"/>
          <w:bCs w:val="0"/>
          <w:sz w:val="30"/>
          <w:szCs w:val="30"/>
          <w:lang w:val="en-US" w:eastAsia="zh-CN"/>
        </w:rPr>
        <w:t>示范，助农增收。要以区域规模优势为基础，</w:t>
      </w:r>
      <w:r>
        <w:rPr>
          <w:rFonts w:hint="eastAsia" w:ascii="方正仿宋_GB2312" w:hAnsi="方正仿宋_GB2312" w:eastAsia="方正仿宋_GB2312" w:cs="方正仿宋_GB2312"/>
          <w:b w:val="0"/>
          <w:bCs w:val="0"/>
          <w:sz w:val="30"/>
          <w:szCs w:val="30"/>
          <w:lang w:val="en-US" w:eastAsia="zh-CN"/>
        </w:rPr>
        <w:t>扶持一批油茶生产、加工</w:t>
      </w:r>
      <w:r>
        <w:rPr>
          <w:rFonts w:hint="default" w:ascii="方正仿宋_GB2312" w:hAnsi="方正仿宋_GB2312" w:eastAsia="方正仿宋_GB2312" w:cs="方正仿宋_GB2312"/>
          <w:b w:val="0"/>
          <w:bCs w:val="0"/>
          <w:sz w:val="30"/>
          <w:szCs w:val="30"/>
          <w:lang w:val="en-US" w:eastAsia="zh-CN"/>
        </w:rPr>
        <w:t>龙头企业</w:t>
      </w:r>
      <w:r>
        <w:rPr>
          <w:rFonts w:hint="eastAsia" w:ascii="方正仿宋_GB2312" w:hAnsi="方正仿宋_GB2312" w:eastAsia="方正仿宋_GB2312" w:cs="方正仿宋_GB2312"/>
          <w:b w:val="0"/>
          <w:bCs w:val="0"/>
          <w:sz w:val="30"/>
          <w:szCs w:val="30"/>
          <w:lang w:val="en-US" w:eastAsia="zh-CN"/>
        </w:rPr>
        <w:t>，</w:t>
      </w:r>
      <w:r>
        <w:rPr>
          <w:rFonts w:hint="default" w:ascii="方正仿宋_GB2312" w:hAnsi="方正仿宋_GB2312" w:eastAsia="方正仿宋_GB2312" w:cs="方正仿宋_GB2312"/>
          <w:b w:val="0"/>
          <w:bCs w:val="0"/>
          <w:sz w:val="30"/>
          <w:szCs w:val="30"/>
          <w:lang w:val="en-US" w:eastAsia="zh-CN"/>
        </w:rPr>
        <w:t>以示范辐射</w:t>
      </w:r>
      <w:r>
        <w:rPr>
          <w:rFonts w:hint="eastAsia" w:ascii="方正仿宋_GB2312" w:hAnsi="方正仿宋_GB2312" w:eastAsia="方正仿宋_GB2312" w:cs="方正仿宋_GB2312"/>
          <w:b w:val="0"/>
          <w:bCs w:val="0"/>
          <w:sz w:val="30"/>
          <w:szCs w:val="30"/>
          <w:lang w:val="en-US" w:eastAsia="zh-CN"/>
        </w:rPr>
        <w:t>带动</w:t>
      </w:r>
      <w:r>
        <w:rPr>
          <w:rFonts w:hint="default" w:ascii="方正仿宋_GB2312" w:hAnsi="方正仿宋_GB2312" w:eastAsia="方正仿宋_GB2312" w:cs="方正仿宋_GB2312"/>
          <w:b w:val="0"/>
          <w:bCs w:val="0"/>
          <w:sz w:val="30"/>
          <w:szCs w:val="30"/>
          <w:lang w:val="en-US" w:eastAsia="zh-CN"/>
        </w:rPr>
        <w:t>产业发展</w:t>
      </w:r>
      <w:r>
        <w:rPr>
          <w:rFonts w:hint="eastAsia" w:ascii="方正仿宋_GB2312" w:hAnsi="方正仿宋_GB2312" w:eastAsia="方正仿宋_GB2312" w:cs="方正仿宋_GB2312"/>
          <w:b w:val="0"/>
          <w:bCs w:val="0"/>
          <w:sz w:val="30"/>
          <w:szCs w:val="30"/>
          <w:lang w:val="en-US" w:eastAsia="zh-CN"/>
        </w:rPr>
        <w:t>。</w:t>
      </w:r>
      <w:r>
        <w:rPr>
          <w:rFonts w:hint="default" w:ascii="方正仿宋_GB2312" w:hAnsi="方正仿宋_GB2312" w:eastAsia="方正仿宋_GB2312" w:cs="方正仿宋_GB2312"/>
          <w:b w:val="0"/>
          <w:bCs w:val="0"/>
          <w:sz w:val="30"/>
          <w:szCs w:val="30"/>
          <w:lang w:val="en-US" w:eastAsia="zh-CN"/>
        </w:rPr>
        <w:t>以品牌建设为支撑，</w:t>
      </w:r>
      <w:r>
        <w:rPr>
          <w:rFonts w:hint="eastAsia" w:ascii="方正仿宋_GB2312" w:hAnsi="方正仿宋_GB2312" w:eastAsia="方正仿宋_GB2312" w:cs="方正仿宋_GB2312"/>
          <w:b w:val="0"/>
          <w:bCs w:val="0"/>
          <w:sz w:val="30"/>
          <w:szCs w:val="30"/>
          <w:lang w:val="en-US" w:eastAsia="zh-CN"/>
        </w:rPr>
        <w:t>积极推动油茶产品线上销售平台建设，</w:t>
      </w:r>
      <w:r>
        <w:rPr>
          <w:rFonts w:hint="default" w:ascii="方正仿宋_GB2312" w:hAnsi="方正仿宋_GB2312" w:eastAsia="方正仿宋_GB2312" w:cs="方正仿宋_GB2312"/>
          <w:b w:val="0"/>
          <w:bCs w:val="0"/>
          <w:sz w:val="30"/>
          <w:szCs w:val="30"/>
          <w:lang w:val="en-US" w:eastAsia="zh-CN"/>
        </w:rPr>
        <w:t>实现</w:t>
      </w:r>
      <w:r>
        <w:rPr>
          <w:rFonts w:hint="eastAsia" w:ascii="方正仿宋_GB2312" w:hAnsi="方正仿宋_GB2312" w:eastAsia="方正仿宋_GB2312" w:cs="方正仿宋_GB2312"/>
          <w:b w:val="0"/>
          <w:bCs w:val="0"/>
          <w:sz w:val="30"/>
          <w:szCs w:val="30"/>
          <w:lang w:val="en-US" w:eastAsia="zh-CN"/>
        </w:rPr>
        <w:t>林农增收</w:t>
      </w:r>
      <w:r>
        <w:rPr>
          <w:rFonts w:hint="default" w:ascii="方正仿宋_GB2312" w:hAnsi="方正仿宋_GB2312" w:eastAsia="方正仿宋_GB2312" w:cs="方正仿宋_GB2312"/>
          <w:b w:val="0"/>
          <w:bCs w:val="0"/>
          <w:sz w:val="30"/>
          <w:szCs w:val="30"/>
          <w:lang w:val="en-US" w:eastAsia="zh-CN"/>
        </w:rPr>
        <w:t>。</w:t>
      </w:r>
    </w:p>
    <w:p>
      <w:pPr>
        <w:numPr>
          <w:ilvl w:val="0"/>
          <w:numId w:val="1"/>
        </w:numPr>
        <w:ind w:left="630" w:leftChars="0" w:firstLineChars="0"/>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工作目标</w:t>
      </w:r>
    </w:p>
    <w:p>
      <w:pPr>
        <w:ind w:firstLine="600" w:firstLineChars="200"/>
        <w:jc w:val="both"/>
        <w:rPr>
          <w:rFonts w:hint="eastAsia" w:ascii="方正仿宋_GB2312" w:hAnsi="方正仿宋_GB2312" w:eastAsia="方正仿宋_GB2312" w:cs="方正仿宋_GB2312"/>
          <w:b w:val="0"/>
          <w:bCs w:val="0"/>
          <w:sz w:val="30"/>
          <w:szCs w:val="30"/>
          <w:lang w:val="en-US" w:eastAsia="zh-CN"/>
        </w:rPr>
      </w:pPr>
      <w:r>
        <w:rPr>
          <w:rFonts w:hint="eastAsia" w:ascii="方正楷体_GB2312" w:hAnsi="方正楷体_GB2312" w:eastAsia="方正楷体_GB2312" w:cs="方正楷体_GB2312"/>
          <w:b w:val="0"/>
          <w:bCs w:val="0"/>
          <w:sz w:val="30"/>
          <w:szCs w:val="30"/>
          <w:lang w:val="en-US" w:eastAsia="zh-CN"/>
        </w:rPr>
        <w:t xml:space="preserve">1.总体目标  </w:t>
      </w:r>
      <w:r>
        <w:rPr>
          <w:rFonts w:hint="eastAsia" w:ascii="方正仿宋_GB2312" w:hAnsi="方正仿宋_GB2312" w:eastAsia="方正仿宋_GB2312" w:cs="方正仿宋_GB2312"/>
          <w:b w:val="0"/>
          <w:bCs w:val="0"/>
          <w:sz w:val="30"/>
          <w:szCs w:val="30"/>
          <w:lang w:val="en-US" w:eastAsia="zh-CN"/>
        </w:rPr>
        <w:t>以琅琊镇、塔石乡2个乡镇为核心，充分发挥油茶资源优势和产业特色，有序推动油茶造林，扩大种植规模，全面深化油茶产品加工，延伸产业链，加强经营主体建设，促进一二三产业融合发展，构建“生产、加工、服务一体化，市场销售、品牌建设、特色宣传同步跟进”的油茶产业发展大格局，做大做强婺城山茶油特色产业。</w:t>
      </w:r>
    </w:p>
    <w:p>
      <w:pPr>
        <w:ind w:firstLine="600" w:firstLineChars="200"/>
        <w:jc w:val="both"/>
        <w:rPr>
          <w:rFonts w:hint="default" w:ascii="方正仿宋_GB2312" w:hAnsi="方正仿宋_GB2312" w:eastAsia="方正仿宋_GB2312" w:cs="方正仿宋_GB2312"/>
          <w:b w:val="0"/>
          <w:bCs w:val="0"/>
          <w:sz w:val="30"/>
          <w:szCs w:val="30"/>
          <w:lang w:val="en-US" w:eastAsia="zh-CN"/>
        </w:rPr>
      </w:pPr>
      <w:r>
        <w:rPr>
          <w:rFonts w:hint="eastAsia" w:ascii="方正楷体_GB2312" w:hAnsi="方正楷体_GB2312" w:eastAsia="方正楷体_GB2312" w:cs="方正楷体_GB2312"/>
          <w:b w:val="0"/>
          <w:bCs w:val="0"/>
          <w:sz w:val="30"/>
          <w:szCs w:val="30"/>
          <w:lang w:val="en-US" w:eastAsia="zh-CN"/>
        </w:rPr>
        <w:t xml:space="preserve">2.主要目标  </w:t>
      </w:r>
      <w:r>
        <w:rPr>
          <w:rFonts w:hint="eastAsia" w:ascii="方正仿宋_GB2312" w:hAnsi="方正仿宋_GB2312" w:eastAsia="方正仿宋_GB2312" w:cs="方正仿宋_GB2312"/>
          <w:b w:val="0"/>
          <w:bCs w:val="0"/>
          <w:sz w:val="30"/>
          <w:szCs w:val="30"/>
          <w:lang w:val="en-US" w:eastAsia="zh-CN"/>
        </w:rPr>
        <w:t>到2025年，建设1-2个500亩以上“一亩山万元钱”高质量发展示范基地，实施良种造林7000亩，改造低产油茶3000亩。油茶保有量达25000亩。建成油茶面积10000亩以上乡镇1个，5000-10000亩以上乡镇1个，1000-5000亩以上6个。提升新品种繁育能力，培育油茶良种苗木200万株以上，培育万吨以上加工能力的油茶加工企业1家，油茶产业产值达到1亿元以上，培育区域特色鲜明的油茶品牌。</w:t>
      </w:r>
    </w:p>
    <w:p>
      <w:pPr>
        <w:numPr>
          <w:ilvl w:val="0"/>
          <w:numId w:val="1"/>
        </w:numPr>
        <w:ind w:left="630" w:leftChars="0" w:firstLineChars="0"/>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实施项目及补助政策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油茶良种新造林项目。推广油茶良种造林，按油茶造林技术标准完成良种造林50亩以上的，经验收合格，当年补助2000元/亩，次年开始每年按要求完成抚育1次及以上的，补助抚育管理费500元/亩，连续补助4年。利用良种按油茶造林技术标准造林5亩以上50亩以下的，经验收合格，当年补助2000元/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油茶林抚育项目。对全区范围内现有油茶林进行抚育（2022年以前完成造林的），促进油茶林稳产丰产。对完成油茶林抚育的主体按照《婺城区千万亩森林质量精准提升工程补助政策》婺区农</w:t>
      </w:r>
      <w:r>
        <w:rPr>
          <w:rFonts w:hint="eastAsia" w:ascii="宋体" w:hAnsi="宋体" w:eastAsia="宋体" w:cs="宋体"/>
          <w:sz w:val="30"/>
          <w:szCs w:val="30"/>
          <w:lang w:val="en-US" w:eastAsia="zh-CN"/>
        </w:rPr>
        <w:t>〔</w:t>
      </w:r>
      <w:r>
        <w:rPr>
          <w:rFonts w:hint="eastAsia" w:ascii="方正仿宋_GB2312" w:hAnsi="方正仿宋_GB2312" w:eastAsia="方正仿宋_GB2312" w:cs="方正仿宋_GB2312"/>
          <w:sz w:val="30"/>
          <w:szCs w:val="30"/>
          <w:lang w:val="en-US" w:eastAsia="zh-CN"/>
        </w:rPr>
        <w:t>2022</w:t>
      </w:r>
      <w:r>
        <w:rPr>
          <w:rFonts w:hint="eastAsia" w:ascii="宋体" w:hAnsi="宋体" w:eastAsia="宋体" w:cs="宋体"/>
          <w:sz w:val="30"/>
          <w:szCs w:val="30"/>
          <w:lang w:val="en-US" w:eastAsia="zh-CN"/>
        </w:rPr>
        <w:t>〕</w:t>
      </w:r>
      <w:r>
        <w:rPr>
          <w:rFonts w:hint="eastAsia" w:ascii="方正仿宋_GB2312" w:hAnsi="方正仿宋_GB2312" w:eastAsia="方正仿宋_GB2312" w:cs="方正仿宋_GB2312"/>
          <w:sz w:val="30"/>
          <w:szCs w:val="30"/>
          <w:lang w:val="en-US" w:eastAsia="zh-CN"/>
        </w:rPr>
        <w:t>9号文件要求，给予每亩550元资金补助。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基础设施建设项目。为提高油茶基地生产管理水平，减少气候对油茶生产的影响，保障油茶林稳产丰收，鼓励有条件的油茶基地开展基础设施</w:t>
      </w:r>
      <w:bookmarkStart w:id="0" w:name="_GoBack"/>
      <w:bookmarkEnd w:id="0"/>
      <w:r>
        <w:rPr>
          <w:rFonts w:hint="eastAsia" w:ascii="方正仿宋_GB2312" w:hAnsi="方正仿宋_GB2312" w:eastAsia="方正仿宋_GB2312" w:cs="方正仿宋_GB2312"/>
          <w:sz w:val="30"/>
          <w:szCs w:val="30"/>
          <w:lang w:val="en-US" w:eastAsia="zh-CN"/>
        </w:rPr>
        <w:t>建设。油茶基地内蓄水池、喷滴灌、林业机械等配套设施建设和设备购置，按项目投资额50%给予补助。油茶基地内的生产用房和林区道路按林地管理政策优先给予审批，林区道路按照5万元/公里给予补助。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油茶产品加工。鼓励林农开展油茶标准化、精细化加工，提升茶油的品质，提高山茶油的经济附加值。对开展油茶（干）籽精深加工的，加工费按照30元/担进行补助。</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油茶生产经营主体培育。油茶新品种通过审定、林地流转种植油茶、林业龙头企业评定、示范性农民专业合作社、推广应用商品有机肥、优质农产品认证等按照《金华市婺城区人民政府关于印发婺城区加快现代农业高质量发展若干政策意见的通知》（婺区政发</w:t>
      </w:r>
      <w:r>
        <w:rPr>
          <w:rFonts w:hint="eastAsia" w:ascii="宋体" w:hAnsi="宋体" w:eastAsia="宋体" w:cs="宋体"/>
          <w:sz w:val="30"/>
          <w:szCs w:val="30"/>
          <w:lang w:val="en-US" w:eastAsia="zh-CN"/>
        </w:rPr>
        <w:t>〔</w:t>
      </w:r>
      <w:r>
        <w:rPr>
          <w:rFonts w:hint="eastAsia" w:ascii="方正仿宋_GB2312" w:hAnsi="方正仿宋_GB2312" w:eastAsia="方正仿宋_GB2312" w:cs="方正仿宋_GB2312"/>
          <w:sz w:val="30"/>
          <w:szCs w:val="30"/>
          <w:lang w:val="en-US" w:eastAsia="zh-CN"/>
        </w:rPr>
        <w:t>2022</w:t>
      </w:r>
      <w:r>
        <w:rPr>
          <w:rFonts w:hint="eastAsia" w:ascii="宋体" w:hAnsi="宋体" w:eastAsia="宋体" w:cs="宋体"/>
          <w:sz w:val="30"/>
          <w:szCs w:val="30"/>
          <w:lang w:val="en-US" w:eastAsia="zh-CN"/>
        </w:rPr>
        <w:t>〕</w:t>
      </w:r>
      <w:r>
        <w:rPr>
          <w:rFonts w:hint="eastAsia" w:ascii="方正仿宋_GB2312" w:hAnsi="方正仿宋_GB2312" w:eastAsia="方正仿宋_GB2312" w:cs="方正仿宋_GB2312"/>
          <w:sz w:val="30"/>
          <w:szCs w:val="30"/>
          <w:lang w:val="en-US" w:eastAsia="zh-CN"/>
        </w:rPr>
        <w:t>16号）执行。鼓励油茶种植大户规模化生产，对年生产山茶油2吨以上的，给予2万元奖励；年生产山茶油5吨以上的，给予5万元奖励。鼓励油茶经营主体参加线上、线下展销活动。对设立茶油品牌且年线上销售山茶油5吨以上的，给予5万元奖励；年线上销售山茶油10吨以上的，给予10万元奖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油茶系列宣传活动。每年安排一定的资金用于开展油茶相关宣传活动。采用报纸、电视、网络平台等形式来宣传油茶的社会效益，通过开展油茶采摘、赏花等活动提高老百姓对油茶的认识。定期举办技术培训、现场教学提高林农科学管理油茶林的水平。对举办全区性油茶系列活动的乡镇，给予资金补助，最高不超过50万元。</w:t>
      </w:r>
    </w:p>
    <w:p>
      <w:pPr>
        <w:numPr>
          <w:ilvl w:val="0"/>
          <w:numId w:val="1"/>
        </w:numPr>
        <w:ind w:left="630" w:leftChars="0" w:firstLineChars="0"/>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楷体_GB2312" w:hAnsi="方正楷体_GB2312" w:eastAsia="方正楷体_GB2312" w:cs="方正楷体_GB2312"/>
          <w:b w:val="0"/>
          <w:bCs w:val="0"/>
          <w:sz w:val="30"/>
          <w:szCs w:val="30"/>
          <w:lang w:val="en-US" w:eastAsia="zh-CN"/>
        </w:rPr>
        <w:t>1.组织保障</w:t>
      </w:r>
      <w:r>
        <w:rPr>
          <w:rFonts w:hint="eastAsia" w:ascii="方正仿宋_GB2312" w:hAnsi="方正仿宋_GB2312" w:eastAsia="方正仿宋_GB2312" w:cs="方正仿宋_GB2312"/>
          <w:sz w:val="30"/>
          <w:szCs w:val="30"/>
          <w:lang w:val="en-US" w:eastAsia="zh-CN"/>
        </w:rPr>
        <w:t xml:space="preserve">  区乡两级分别成立油茶产业发展领导小组，统一领导和指导油茶产业的发展，落实油茶造林、低产林改造任务。林业主管部门对油茶产业项目要优先立项，并做好相关技术指导；财政部门要对油茶产业发展提供资金保障；宣传部门要加强对油茶产业的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方正仿宋_GB2312" w:hAnsi="方正仿宋_GB2312" w:eastAsia="方正仿宋_GB2312" w:cs="方正仿宋_GB2312"/>
          <w:sz w:val="30"/>
          <w:szCs w:val="30"/>
          <w:lang w:val="en-US" w:eastAsia="zh-CN"/>
        </w:rPr>
      </w:pPr>
      <w:r>
        <w:rPr>
          <w:rFonts w:hint="eastAsia" w:ascii="方正楷体_GB2312" w:hAnsi="方正楷体_GB2312" w:eastAsia="方正楷体_GB2312" w:cs="方正楷体_GB2312"/>
          <w:b w:val="0"/>
          <w:bCs w:val="0"/>
          <w:sz w:val="30"/>
          <w:szCs w:val="30"/>
          <w:lang w:val="en-US" w:eastAsia="zh-CN"/>
        </w:rPr>
        <w:t>2.资金保障</w:t>
      </w:r>
      <w:r>
        <w:rPr>
          <w:rFonts w:hint="eastAsia" w:ascii="方正仿宋_GB2312" w:hAnsi="方正仿宋_GB2312" w:eastAsia="方正仿宋_GB2312" w:cs="方正仿宋_GB2312"/>
          <w:sz w:val="30"/>
          <w:szCs w:val="30"/>
          <w:lang w:val="en-US" w:eastAsia="zh-CN"/>
        </w:rPr>
        <w:t xml:space="preserve">  油茶产业的发展离不开资金的支持，要鼓励、引导社会工商资本投资油茶产业，区、乡（镇）财政要加大对油茶造林项目的扶持力度，年安排一定的资金用于油茶产业的发展，确保补助资金按时、足额发放到位。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方正仿宋_GB2312" w:hAnsi="方正仿宋_GB2312" w:eastAsia="方正仿宋_GB2312" w:cs="方正仿宋_GB2312"/>
          <w:sz w:val="30"/>
          <w:szCs w:val="30"/>
          <w:lang w:val="en-US" w:eastAsia="zh-CN"/>
        </w:rPr>
      </w:pPr>
      <w:r>
        <w:rPr>
          <w:rFonts w:hint="eastAsia" w:ascii="方正楷体_GB2312" w:hAnsi="方正楷体_GB2312" w:eastAsia="方正楷体_GB2312" w:cs="方正楷体_GB2312"/>
          <w:b w:val="0"/>
          <w:bCs w:val="0"/>
          <w:sz w:val="30"/>
          <w:szCs w:val="30"/>
          <w:lang w:val="en-US" w:eastAsia="zh-CN"/>
        </w:rPr>
        <w:t>3.技术保障</w:t>
      </w:r>
      <w:r>
        <w:rPr>
          <w:rFonts w:hint="eastAsia" w:ascii="方正仿宋_GB2312" w:hAnsi="方正仿宋_GB2312" w:eastAsia="方正仿宋_GB2312" w:cs="方正仿宋_GB2312"/>
          <w:sz w:val="30"/>
          <w:szCs w:val="30"/>
          <w:lang w:val="en-US" w:eastAsia="zh-CN"/>
        </w:rPr>
        <w:t xml:space="preserve">  林业主管部门做好油茶良种培育和推广工作，引导农户种植高产、高效的油茶品种。要做好油茶造林、抚育管理的业务培训和技术指导工作，确保造林质量和造林保存率，为油茶产业发展打下基础。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附件：婺城区各乡镇新增油茶造林面积任务分解表</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00" w:firstLineChars="17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金华市婺城区人民政府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00" w:firstLineChars="1800"/>
        <w:textAlignment w:val="auto"/>
        <w:rPr>
          <w:rFonts w:hint="eastAsia" w:ascii="方正仿宋_GB2312" w:hAnsi="方正仿宋_GB2312" w:eastAsia="方正仿宋_GB2312" w:cs="方正仿宋_GB2312"/>
          <w:sz w:val="30"/>
          <w:szCs w:val="30"/>
          <w:lang w:val="en-US" w:eastAsia="zh-CN"/>
        </w:rPr>
      </w:pPr>
      <w:r>
        <w:rPr>
          <w:rFonts w:hint="eastAsia" w:ascii="方正仿宋_GB2312" w:hAnsi="方正仿宋_GB2312" w:eastAsia="方正仿宋_GB2312" w:cs="方正仿宋_GB2312"/>
          <w:sz w:val="30"/>
          <w:szCs w:val="30"/>
          <w:lang w:val="en-US" w:eastAsia="zh-CN"/>
        </w:rPr>
        <w:t>2022年12月5日</w:t>
      </w:r>
    </w:p>
    <w:p>
      <w:pPr>
        <w:numPr>
          <w:ilvl w:val="0"/>
          <w:numId w:val="0"/>
        </w:numPr>
        <w:ind w:firstLine="5320" w:firstLineChars="1900"/>
        <w:rPr>
          <w:rFonts w:hint="eastAsia"/>
          <w:sz w:val="28"/>
          <w:szCs w:val="28"/>
          <w:lang w:val="en-US" w:eastAsia="zh-CN"/>
        </w:rPr>
      </w:pPr>
    </w:p>
    <w:p>
      <w:pPr>
        <w:numPr>
          <w:ilvl w:val="0"/>
          <w:numId w:val="0"/>
        </w:numPr>
        <w:ind w:firstLine="5320" w:firstLineChars="1900"/>
        <w:rPr>
          <w:rFonts w:hint="eastAsia"/>
          <w:sz w:val="28"/>
          <w:szCs w:val="28"/>
          <w:lang w:val="en-US" w:eastAsia="zh-CN"/>
        </w:rPr>
      </w:pPr>
    </w:p>
    <w:p>
      <w:pPr>
        <w:numPr>
          <w:ilvl w:val="0"/>
          <w:numId w:val="0"/>
        </w:numPr>
        <w:ind w:firstLine="5320" w:firstLineChars="1900"/>
        <w:rPr>
          <w:rFonts w:hint="eastAsia"/>
          <w:sz w:val="28"/>
          <w:szCs w:val="28"/>
          <w:lang w:val="en-US" w:eastAsia="zh-CN"/>
        </w:rPr>
      </w:pPr>
    </w:p>
    <w:p>
      <w:pPr>
        <w:numPr>
          <w:ilvl w:val="0"/>
          <w:numId w:val="0"/>
        </w:numPr>
        <w:ind w:firstLine="5320" w:firstLineChars="1900"/>
        <w:rPr>
          <w:rFonts w:hint="eastAsia"/>
          <w:sz w:val="28"/>
          <w:szCs w:val="28"/>
          <w:lang w:val="en-US" w:eastAsia="zh-CN"/>
        </w:rPr>
      </w:pPr>
    </w:p>
    <w:p>
      <w:pPr>
        <w:numPr>
          <w:ilvl w:val="0"/>
          <w:numId w:val="0"/>
        </w:numPr>
        <w:ind w:firstLine="5320" w:firstLineChars="1900"/>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b/>
          <w:bCs/>
          <w:sz w:val="28"/>
          <w:szCs w:val="28"/>
          <w:lang w:val="en-US" w:eastAsia="zh-CN"/>
        </w:rPr>
        <w:t>附件：</w:t>
      </w:r>
      <w:r>
        <w:rPr>
          <w:rFonts w:hint="eastAsia"/>
          <w:sz w:val="28"/>
          <w:szCs w:val="28"/>
          <w:lang w:val="en-US" w:eastAsia="zh-CN"/>
        </w:rPr>
        <w:t>婺城区各乡镇新增油茶面积任务表</w:t>
      </w:r>
    </w:p>
    <w:p>
      <w:pPr>
        <w:numPr>
          <w:ilvl w:val="0"/>
          <w:numId w:val="0"/>
        </w:numPr>
        <w:ind w:firstLine="6440" w:firstLineChars="2300"/>
        <w:rPr>
          <w:rFonts w:hint="default"/>
          <w:sz w:val="28"/>
          <w:szCs w:val="28"/>
          <w:lang w:val="en-US" w:eastAsia="zh-CN"/>
        </w:rPr>
      </w:pPr>
      <w:r>
        <w:rPr>
          <w:rFonts w:hint="eastAsia"/>
          <w:sz w:val="28"/>
          <w:szCs w:val="28"/>
          <w:lang w:val="en-US" w:eastAsia="zh-CN"/>
        </w:rPr>
        <w:t>单位： 亩</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乡镇</w:t>
            </w:r>
          </w:p>
        </w:tc>
        <w:tc>
          <w:tcPr>
            <w:tcW w:w="5113" w:type="dxa"/>
            <w:gridSpan w:val="3"/>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分年度任务</w:t>
            </w:r>
          </w:p>
        </w:tc>
        <w:tc>
          <w:tcPr>
            <w:tcW w:w="1705" w:type="dxa"/>
            <w:vMerge w:val="restart"/>
            <w:vAlign w:val="center"/>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tcPr>
          <w:p>
            <w:pPr>
              <w:numPr>
                <w:ilvl w:val="0"/>
                <w:numId w:val="0"/>
              </w:numPr>
              <w:rPr>
                <w:rFonts w:hint="default"/>
                <w:sz w:val="28"/>
                <w:szCs w:val="28"/>
                <w:vertAlign w:val="baseline"/>
                <w:lang w:val="en-US" w:eastAsia="zh-CN"/>
              </w:rPr>
            </w:pP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2023年</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2024年</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2025年</w:t>
            </w:r>
          </w:p>
        </w:tc>
        <w:tc>
          <w:tcPr>
            <w:tcW w:w="1705" w:type="dxa"/>
            <w:vMerge w:val="continue"/>
          </w:tcPr>
          <w:p>
            <w:pPr>
              <w:numPr>
                <w:ilvl w:val="0"/>
                <w:numId w:val="0"/>
              </w:numP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合计</w:t>
            </w:r>
          </w:p>
        </w:tc>
        <w:tc>
          <w:tcPr>
            <w:tcW w:w="1704" w:type="dxa"/>
          </w:tcPr>
          <w:p>
            <w:pPr>
              <w:numPr>
                <w:ilvl w:val="0"/>
                <w:numId w:val="0"/>
              </w:numPr>
              <w:jc w:val="center"/>
              <w:rPr>
                <w:rFonts w:hint="default"/>
                <w:b/>
                <w:bCs/>
                <w:sz w:val="28"/>
                <w:szCs w:val="28"/>
                <w:vertAlign w:val="baseline"/>
                <w:lang w:val="en-US" w:eastAsia="zh-CN"/>
              </w:rPr>
            </w:pPr>
            <w:r>
              <w:rPr>
                <w:rFonts w:hint="eastAsia"/>
                <w:b/>
                <w:bCs/>
                <w:sz w:val="28"/>
                <w:szCs w:val="28"/>
                <w:vertAlign w:val="baseline"/>
                <w:lang w:val="en-US" w:eastAsia="zh-CN"/>
              </w:rPr>
              <w:t>2750</w:t>
            </w:r>
          </w:p>
        </w:tc>
        <w:tc>
          <w:tcPr>
            <w:tcW w:w="1704" w:type="dxa"/>
          </w:tcPr>
          <w:p>
            <w:pPr>
              <w:numPr>
                <w:ilvl w:val="0"/>
                <w:numId w:val="0"/>
              </w:numPr>
              <w:jc w:val="center"/>
              <w:rPr>
                <w:rFonts w:hint="default"/>
                <w:b/>
                <w:bCs/>
                <w:sz w:val="28"/>
                <w:szCs w:val="28"/>
                <w:vertAlign w:val="baseline"/>
                <w:lang w:val="en-US" w:eastAsia="zh-CN"/>
              </w:rPr>
            </w:pPr>
            <w:r>
              <w:rPr>
                <w:rFonts w:hint="eastAsia"/>
                <w:b/>
                <w:bCs/>
                <w:sz w:val="28"/>
                <w:szCs w:val="28"/>
                <w:vertAlign w:val="baseline"/>
                <w:lang w:val="en-US" w:eastAsia="zh-CN"/>
              </w:rPr>
              <w:t>2350</w:t>
            </w:r>
          </w:p>
        </w:tc>
        <w:tc>
          <w:tcPr>
            <w:tcW w:w="1705" w:type="dxa"/>
          </w:tcPr>
          <w:p>
            <w:pPr>
              <w:numPr>
                <w:ilvl w:val="0"/>
                <w:numId w:val="0"/>
              </w:numPr>
              <w:jc w:val="center"/>
              <w:rPr>
                <w:rFonts w:hint="default"/>
                <w:b/>
                <w:bCs/>
                <w:sz w:val="28"/>
                <w:szCs w:val="28"/>
                <w:vertAlign w:val="baseline"/>
                <w:lang w:val="en-US" w:eastAsia="zh-CN"/>
              </w:rPr>
            </w:pPr>
            <w:r>
              <w:rPr>
                <w:rFonts w:hint="eastAsia"/>
                <w:b/>
                <w:bCs/>
                <w:sz w:val="28"/>
                <w:szCs w:val="28"/>
                <w:vertAlign w:val="baseline"/>
                <w:lang w:val="en-US" w:eastAsia="zh-CN"/>
              </w:rPr>
              <w:t>1900</w:t>
            </w:r>
          </w:p>
        </w:tc>
        <w:tc>
          <w:tcPr>
            <w:tcW w:w="1705" w:type="dxa"/>
          </w:tcPr>
          <w:p>
            <w:pPr>
              <w:numPr>
                <w:ilvl w:val="0"/>
                <w:numId w:val="0"/>
              </w:numPr>
              <w:jc w:val="center"/>
              <w:rPr>
                <w:rFonts w:hint="default"/>
                <w:b/>
                <w:bCs/>
                <w:sz w:val="28"/>
                <w:szCs w:val="28"/>
                <w:vertAlign w:val="baseline"/>
                <w:lang w:val="en-US" w:eastAsia="zh-CN"/>
              </w:rPr>
            </w:pPr>
            <w:r>
              <w:rPr>
                <w:rFonts w:hint="eastAsia"/>
                <w:b/>
                <w:bCs/>
                <w:sz w:val="28"/>
                <w:szCs w:val="28"/>
                <w:vertAlign w:val="baseline"/>
                <w:lang w:val="en-US"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雅畈镇</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安地镇</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箬阳乡</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长山乡</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白龙桥镇</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5" w:type="dxa"/>
          </w:tcPr>
          <w:p>
            <w:pPr>
              <w:numPr>
                <w:ilvl w:val="0"/>
                <w:numId w:val="0"/>
              </w:numPr>
              <w:jc w:val="center"/>
              <w:rPr>
                <w:rFonts w:hint="default"/>
                <w:sz w:val="28"/>
                <w:szCs w:val="28"/>
                <w:vertAlign w:val="baseline"/>
                <w:lang w:val="en-US" w:eastAsia="zh-CN"/>
              </w:rPr>
            </w:pP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琅琊镇</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800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600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沙畈乡</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蒋堂镇</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塔石乡</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400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莘畈乡</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300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200</w:t>
            </w: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罗店镇</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5" w:type="dxa"/>
          </w:tcPr>
          <w:p>
            <w:pPr>
              <w:numPr>
                <w:ilvl w:val="0"/>
                <w:numId w:val="0"/>
              </w:numPr>
              <w:jc w:val="center"/>
              <w:rPr>
                <w:rFonts w:hint="default"/>
                <w:sz w:val="28"/>
                <w:szCs w:val="28"/>
                <w:vertAlign w:val="baseline"/>
                <w:lang w:val="en-US" w:eastAsia="zh-CN"/>
              </w:rPr>
            </w:pP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竹马乡</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4"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50</w:t>
            </w:r>
          </w:p>
        </w:tc>
        <w:tc>
          <w:tcPr>
            <w:tcW w:w="1705" w:type="dxa"/>
          </w:tcPr>
          <w:p>
            <w:pPr>
              <w:numPr>
                <w:ilvl w:val="0"/>
                <w:numId w:val="0"/>
              </w:numPr>
              <w:jc w:val="center"/>
              <w:rPr>
                <w:rFonts w:hint="default"/>
                <w:sz w:val="28"/>
                <w:szCs w:val="28"/>
                <w:vertAlign w:val="baseline"/>
                <w:lang w:val="en-US" w:eastAsia="zh-CN"/>
              </w:rPr>
            </w:pPr>
          </w:p>
        </w:tc>
        <w:tc>
          <w:tcPr>
            <w:tcW w:w="1705" w:type="dxa"/>
          </w:tcPr>
          <w:p>
            <w:pPr>
              <w:numPr>
                <w:ilvl w:val="0"/>
                <w:numId w:val="0"/>
              </w:numPr>
              <w:jc w:val="center"/>
              <w:rPr>
                <w:rFonts w:hint="default"/>
                <w:sz w:val="28"/>
                <w:szCs w:val="28"/>
                <w:vertAlign w:val="baseline"/>
                <w:lang w:val="en-US" w:eastAsia="zh-CN"/>
              </w:rPr>
            </w:pPr>
            <w:r>
              <w:rPr>
                <w:rFonts w:hint="eastAsia"/>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numPr>
                <w:ilvl w:val="0"/>
                <w:numId w:val="0"/>
              </w:numPr>
              <w:rPr>
                <w:rFonts w:hint="default"/>
                <w:sz w:val="28"/>
                <w:szCs w:val="28"/>
                <w:vertAlign w:val="baseline"/>
                <w:lang w:val="en-US" w:eastAsia="zh-CN"/>
              </w:rPr>
            </w:pPr>
          </w:p>
        </w:tc>
        <w:tc>
          <w:tcPr>
            <w:tcW w:w="1704" w:type="dxa"/>
          </w:tcPr>
          <w:p>
            <w:pPr>
              <w:numPr>
                <w:ilvl w:val="0"/>
                <w:numId w:val="0"/>
              </w:numPr>
              <w:rPr>
                <w:rFonts w:hint="default"/>
                <w:sz w:val="28"/>
                <w:szCs w:val="28"/>
                <w:vertAlign w:val="baseline"/>
                <w:lang w:val="en-US" w:eastAsia="zh-CN"/>
              </w:rPr>
            </w:pPr>
          </w:p>
        </w:tc>
        <w:tc>
          <w:tcPr>
            <w:tcW w:w="1704" w:type="dxa"/>
          </w:tcPr>
          <w:p>
            <w:pPr>
              <w:numPr>
                <w:ilvl w:val="0"/>
                <w:numId w:val="0"/>
              </w:numPr>
              <w:rPr>
                <w:rFonts w:hint="default"/>
                <w:sz w:val="28"/>
                <w:szCs w:val="28"/>
                <w:vertAlign w:val="baseline"/>
                <w:lang w:val="en-US" w:eastAsia="zh-CN"/>
              </w:rPr>
            </w:pPr>
          </w:p>
        </w:tc>
        <w:tc>
          <w:tcPr>
            <w:tcW w:w="1705" w:type="dxa"/>
          </w:tcPr>
          <w:p>
            <w:pPr>
              <w:numPr>
                <w:ilvl w:val="0"/>
                <w:numId w:val="0"/>
              </w:numPr>
              <w:rPr>
                <w:rFonts w:hint="default"/>
                <w:sz w:val="28"/>
                <w:szCs w:val="28"/>
                <w:vertAlign w:val="baseline"/>
                <w:lang w:val="en-US" w:eastAsia="zh-CN"/>
              </w:rPr>
            </w:pPr>
          </w:p>
        </w:tc>
        <w:tc>
          <w:tcPr>
            <w:tcW w:w="1705" w:type="dxa"/>
          </w:tcPr>
          <w:p>
            <w:pPr>
              <w:numPr>
                <w:ilvl w:val="0"/>
                <w:numId w:val="0"/>
              </w:numPr>
              <w:rPr>
                <w:rFonts w:hint="default"/>
                <w:sz w:val="28"/>
                <w:szCs w:val="28"/>
                <w:vertAlign w:val="baseline"/>
                <w:lang w:val="en-US" w:eastAsia="zh-CN"/>
              </w:rPr>
            </w:pPr>
          </w:p>
        </w:tc>
      </w:tr>
    </w:tbl>
    <w:p>
      <w:pPr>
        <w:numPr>
          <w:ilvl w:val="0"/>
          <w:numId w:val="0"/>
        </w:num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0482AA-D470-4A29-B9EC-0518B797A8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C31B006-3094-4101-BE48-6C28B7C7B71E}"/>
  </w:font>
  <w:font w:name="方正公文小标宋">
    <w:panose1 w:val="02000500000000000000"/>
    <w:charset w:val="86"/>
    <w:family w:val="auto"/>
    <w:pitch w:val="default"/>
    <w:sig w:usb0="A00002BF" w:usb1="38CF7CFA" w:usb2="00000016" w:usb3="00000000" w:csb0="00040001" w:csb1="00000000"/>
    <w:embedRegular r:id="rId3" w:fontKey="{7BE8254F-F012-4BD6-B8BE-DE01F79D0207}"/>
  </w:font>
  <w:font w:name="方正仿宋_GB2312">
    <w:altName w:val="仿宋"/>
    <w:panose1 w:val="02000000000000000000"/>
    <w:charset w:val="86"/>
    <w:family w:val="auto"/>
    <w:pitch w:val="default"/>
    <w:sig w:usb0="00000000" w:usb1="00000000" w:usb2="00000012" w:usb3="00000000" w:csb0="00040001" w:csb1="00000000"/>
    <w:embedRegular r:id="rId4" w:fontKey="{274864BE-C6EF-40E9-9A91-C484CE11EB2D}"/>
  </w:font>
  <w:font w:name="仿宋">
    <w:panose1 w:val="02010609060101010101"/>
    <w:charset w:val="86"/>
    <w:family w:val="auto"/>
    <w:pitch w:val="default"/>
    <w:sig w:usb0="800002BF" w:usb1="38CF7CFA" w:usb2="00000016" w:usb3="00000000" w:csb0="00040001" w:csb1="00000000"/>
  </w:font>
  <w:font w:name="方正楷体_GB2312">
    <w:altName w:val="楷体_GB2312"/>
    <w:panose1 w:val="02000000000000000000"/>
    <w:charset w:val="86"/>
    <w:family w:val="auto"/>
    <w:pitch w:val="default"/>
    <w:sig w:usb0="00000000" w:usb1="00000000" w:usb2="00000012" w:usb3="00000000" w:csb0="00040001" w:csb1="00000000"/>
    <w:embedRegular r:id="rId5" w:fontKey="{0501C019-4F90-4036-8C8C-A7C53C180BF1}"/>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AC832"/>
    <w:multiLevelType w:val="singleLevel"/>
    <w:tmpl w:val="92DAC832"/>
    <w:lvl w:ilvl="0" w:tentative="0">
      <w:start w:val="1"/>
      <w:numFmt w:val="chineseCounting"/>
      <w:suff w:val="nothing"/>
      <w:lvlText w:val="%1、"/>
      <w:lvlJc w:val="left"/>
      <w:pPr>
        <w:ind w:left="630"/>
      </w:pPr>
      <w:rPr>
        <w:rFonts w:hint="eastAsia"/>
      </w:rPr>
    </w:lvl>
  </w:abstractNum>
  <w:abstractNum w:abstractNumId="1">
    <w:nsid w:val="98FB77AF"/>
    <w:multiLevelType w:val="singleLevel"/>
    <w:tmpl w:val="98FB77A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ZjlhYzkyZDA1NjFkZGI4NjMyMjI0MzNmZDQyMjUifQ=="/>
  </w:docVars>
  <w:rsids>
    <w:rsidRoot w:val="399C1BCA"/>
    <w:rsid w:val="00F431B9"/>
    <w:rsid w:val="0113478A"/>
    <w:rsid w:val="0180019C"/>
    <w:rsid w:val="04D6561A"/>
    <w:rsid w:val="05E246FC"/>
    <w:rsid w:val="06826C68"/>
    <w:rsid w:val="07D258D6"/>
    <w:rsid w:val="0B46033D"/>
    <w:rsid w:val="0BB01360"/>
    <w:rsid w:val="0C035A4D"/>
    <w:rsid w:val="0CDC6EAA"/>
    <w:rsid w:val="0E074AA1"/>
    <w:rsid w:val="0E3E7759"/>
    <w:rsid w:val="100C66A0"/>
    <w:rsid w:val="106A0DA2"/>
    <w:rsid w:val="114535BD"/>
    <w:rsid w:val="1461426A"/>
    <w:rsid w:val="14CF1EB2"/>
    <w:rsid w:val="16E01DBD"/>
    <w:rsid w:val="1B08729D"/>
    <w:rsid w:val="1BCB3325"/>
    <w:rsid w:val="21E92807"/>
    <w:rsid w:val="29C94ACF"/>
    <w:rsid w:val="2B521C3E"/>
    <w:rsid w:val="2D1D317E"/>
    <w:rsid w:val="329F4B49"/>
    <w:rsid w:val="33B06FAB"/>
    <w:rsid w:val="34B7039D"/>
    <w:rsid w:val="34E065AA"/>
    <w:rsid w:val="364801AD"/>
    <w:rsid w:val="3688259C"/>
    <w:rsid w:val="399C1BCA"/>
    <w:rsid w:val="39F80DB6"/>
    <w:rsid w:val="410932FF"/>
    <w:rsid w:val="43100B52"/>
    <w:rsid w:val="43DD69A1"/>
    <w:rsid w:val="46A20F29"/>
    <w:rsid w:val="473C6A7A"/>
    <w:rsid w:val="48EE7ABB"/>
    <w:rsid w:val="4C0D64AA"/>
    <w:rsid w:val="500B691C"/>
    <w:rsid w:val="54596730"/>
    <w:rsid w:val="553C7D88"/>
    <w:rsid w:val="56B55774"/>
    <w:rsid w:val="579F4F02"/>
    <w:rsid w:val="5CAF131C"/>
    <w:rsid w:val="5D0211C2"/>
    <w:rsid w:val="5E9721E1"/>
    <w:rsid w:val="61FE0917"/>
    <w:rsid w:val="62916574"/>
    <w:rsid w:val="62DF037A"/>
    <w:rsid w:val="65B95776"/>
    <w:rsid w:val="66015D4A"/>
    <w:rsid w:val="690A420D"/>
    <w:rsid w:val="6C67083D"/>
    <w:rsid w:val="6DB77E21"/>
    <w:rsid w:val="75B9685C"/>
    <w:rsid w:val="7B332F87"/>
    <w:rsid w:val="7B8B2DC3"/>
    <w:rsid w:val="7BB923DD"/>
    <w:rsid w:val="7C2F32EC"/>
    <w:rsid w:val="7C843834"/>
    <w:rsid w:val="7CCD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2576</Words>
  <Characters>2780</Characters>
  <Lines>0</Lines>
  <Paragraphs>0</Paragraphs>
  <TotalTime>23</TotalTime>
  <ScaleCrop>false</ScaleCrop>
  <LinksUpToDate>false</LinksUpToDate>
  <CharactersWithSpaces>2795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2022-09-14T00:39:00Z</dcterms:created>
  <dc:creator>lenovo</dc:creator>
  <cp:lastModifiedBy>pipibo</cp:lastModifiedBy>
  <dcterms:modified xsi:type="dcterms:W3CDTF">2023-01-12T04:34:55Z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258E76A8F57B4985B86DA8D6552D4BE9</vt:lpwstr>
  </property>
</Properties>
</file>