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62"/>
        <w:jc w:val="center"/>
        <w:rPr>
          <w:rFonts w:ascii="宋体" w:hAnsi="宋体"/>
          <w:b/>
          <w:color w:val="auto"/>
          <w:spacing w:val="-20"/>
          <w:sz w:val="48"/>
          <w:szCs w:val="48"/>
          <w:highlight w:val="none"/>
        </w:rPr>
      </w:pPr>
    </w:p>
    <w:p>
      <w:pPr>
        <w:spacing w:line="800" w:lineRule="exact"/>
        <w:ind w:right="62"/>
        <w:jc w:val="center"/>
        <w:rPr>
          <w:rFonts w:hint="eastAsia" w:ascii="宋体" w:hAnsi="宋体" w:cs="宋体"/>
          <w:b/>
          <w:bCs/>
          <w:color w:val="auto"/>
          <w:sz w:val="48"/>
          <w:szCs w:val="48"/>
          <w:highlight w:val="none"/>
        </w:rPr>
      </w:pPr>
      <w:r>
        <w:rPr>
          <w:rFonts w:hint="eastAsia" w:ascii="宋体" w:hAnsi="宋体" w:cs="宋体"/>
          <w:b/>
          <w:bCs/>
          <w:color w:val="auto"/>
          <w:sz w:val="48"/>
          <w:szCs w:val="48"/>
          <w:highlight w:val="none"/>
        </w:rPr>
        <w:t>金华市婺城区安居工程城中村改造项目</w:t>
      </w:r>
    </w:p>
    <w:p>
      <w:pPr>
        <w:spacing w:line="800" w:lineRule="exact"/>
        <w:ind w:right="62"/>
        <w:jc w:val="center"/>
        <w:rPr>
          <w:rFonts w:ascii="宋体" w:hAnsi="宋体"/>
          <w:b/>
          <w:color w:val="auto"/>
          <w:spacing w:val="-20"/>
          <w:sz w:val="48"/>
          <w:szCs w:val="48"/>
          <w:highlight w:val="none"/>
        </w:rPr>
      </w:pPr>
      <w:r>
        <w:rPr>
          <w:rFonts w:hint="eastAsia" w:ascii="宋体" w:hAnsi="宋体" w:cs="宋体"/>
          <w:b/>
          <w:bCs/>
          <w:color w:val="auto"/>
          <w:sz w:val="48"/>
          <w:szCs w:val="48"/>
          <w:highlight w:val="none"/>
        </w:rPr>
        <w:t>（城西西郊三期）</w:t>
      </w:r>
      <w:r>
        <w:rPr>
          <w:rFonts w:hint="eastAsia" w:ascii="宋体" w:hAnsi="宋体"/>
          <w:b/>
          <w:color w:val="auto"/>
          <w:spacing w:val="-20"/>
          <w:sz w:val="48"/>
          <w:szCs w:val="48"/>
          <w:highlight w:val="none"/>
        </w:rPr>
        <w:t>监理招标</w:t>
      </w:r>
    </w:p>
    <w:p>
      <w:pPr>
        <w:spacing w:line="360" w:lineRule="auto"/>
        <w:ind w:firstLine="422" w:firstLineChars="200"/>
        <w:jc w:val="center"/>
        <w:rPr>
          <w:rFonts w:ascii="宋体" w:hAnsi="宋体"/>
          <w:b/>
          <w:color w:val="auto"/>
          <w:szCs w:val="21"/>
          <w:highlight w:val="none"/>
        </w:rPr>
      </w:pPr>
    </w:p>
    <w:p>
      <w:pPr>
        <w:tabs>
          <w:tab w:val="left" w:pos="7350"/>
        </w:tabs>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ab/>
      </w:r>
    </w:p>
    <w:p>
      <w:pPr>
        <w:tabs>
          <w:tab w:val="left" w:pos="7350"/>
        </w:tabs>
        <w:spacing w:line="360" w:lineRule="auto"/>
        <w:ind w:firstLine="420" w:firstLineChars="200"/>
        <w:jc w:val="left"/>
        <w:rPr>
          <w:rFonts w:ascii="宋体" w:hAnsi="宋体"/>
          <w:color w:val="auto"/>
          <w:szCs w:val="21"/>
          <w:highlight w:val="none"/>
        </w:rPr>
      </w:pPr>
    </w:p>
    <w:p>
      <w:pPr>
        <w:tabs>
          <w:tab w:val="left" w:pos="7350"/>
        </w:tabs>
        <w:spacing w:line="360" w:lineRule="auto"/>
        <w:ind w:firstLine="420" w:firstLineChars="200"/>
        <w:jc w:val="left"/>
        <w:rPr>
          <w:rFonts w:ascii="宋体" w:hAnsi="宋体"/>
          <w:color w:val="auto"/>
          <w:szCs w:val="21"/>
          <w:highlight w:val="none"/>
        </w:rPr>
      </w:pPr>
    </w:p>
    <w:p>
      <w:pPr>
        <w:tabs>
          <w:tab w:val="left" w:pos="7350"/>
        </w:tabs>
        <w:spacing w:line="360" w:lineRule="auto"/>
        <w:ind w:firstLine="420" w:firstLineChars="200"/>
        <w:jc w:val="left"/>
        <w:rPr>
          <w:rFonts w:ascii="宋体" w:hAnsi="宋体"/>
          <w:color w:val="auto"/>
          <w:szCs w:val="21"/>
          <w:highlight w:val="none"/>
        </w:rPr>
      </w:pPr>
    </w:p>
    <w:p>
      <w:pPr>
        <w:tabs>
          <w:tab w:val="left" w:pos="7350"/>
        </w:tabs>
        <w:spacing w:line="360" w:lineRule="auto"/>
        <w:ind w:firstLine="420" w:firstLineChars="200"/>
        <w:jc w:val="left"/>
        <w:rPr>
          <w:rFonts w:ascii="宋体" w:hAnsi="宋体"/>
          <w:color w:val="auto"/>
          <w:szCs w:val="21"/>
          <w:highlight w:val="none"/>
        </w:rPr>
      </w:pPr>
    </w:p>
    <w:p>
      <w:pPr>
        <w:tabs>
          <w:tab w:val="left" w:pos="7350"/>
        </w:tabs>
        <w:spacing w:line="360" w:lineRule="auto"/>
        <w:ind w:firstLine="420" w:firstLineChars="200"/>
        <w:jc w:val="left"/>
        <w:rPr>
          <w:rFonts w:ascii="宋体" w:hAnsi="宋体"/>
          <w:color w:val="auto"/>
          <w:szCs w:val="21"/>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招 标 文 件</w:t>
      </w:r>
    </w:p>
    <w:p>
      <w:pPr>
        <w:spacing w:line="360" w:lineRule="auto"/>
        <w:ind w:firstLine="2310" w:firstLineChars="1100"/>
        <w:rPr>
          <w:rFonts w:ascii="宋体" w:hAnsi="宋体"/>
          <w:color w:val="auto"/>
          <w:sz w:val="52"/>
          <w:szCs w:val="52"/>
          <w:highlight w:val="none"/>
        </w:rPr>
      </w:pPr>
      <w:r>
        <w:rPr>
          <w:rFonts w:hint="eastAsia" w:ascii="宋体" w:hAnsi="宋体"/>
          <w:color w:val="auto"/>
          <w:szCs w:val="21"/>
          <w:highlight w:val="none"/>
        </w:rPr>
        <w:t xml:space="preserve">     </w:t>
      </w:r>
      <w:r>
        <w:rPr>
          <w:rFonts w:hint="eastAsia" w:ascii="宋体" w:hAnsi="宋体"/>
          <w:color w:val="auto"/>
          <w:sz w:val="52"/>
          <w:szCs w:val="52"/>
          <w:highlight w:val="none"/>
        </w:rPr>
        <w:t xml:space="preserve">  </w:t>
      </w: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 w:val="28"/>
          <w:szCs w:val="28"/>
          <w:highlight w:val="none"/>
        </w:rPr>
        <w:t xml:space="preserve">          </w:t>
      </w:r>
    </w:p>
    <w:p>
      <w:pPr>
        <w:spacing w:line="360" w:lineRule="auto"/>
        <w:ind w:firstLine="420" w:firstLineChars="200"/>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800" w:lineRule="exact"/>
        <w:ind w:firstLine="829" w:firstLineChars="295"/>
        <w:rPr>
          <w:rFonts w:ascii="宋体" w:hAnsi="宋体"/>
          <w:b/>
          <w:color w:val="auto"/>
          <w:sz w:val="28"/>
          <w:szCs w:val="28"/>
          <w:highlight w:val="none"/>
        </w:rPr>
      </w:pPr>
      <w:r>
        <w:rPr>
          <w:rFonts w:hint="eastAsia" w:ascii="宋体" w:hAnsi="宋体"/>
          <w:b/>
          <w:color w:val="auto"/>
          <w:sz w:val="28"/>
          <w:szCs w:val="28"/>
          <w:highlight w:val="none"/>
        </w:rPr>
        <w:t>招标单位：金华市婺城区城乡建设投资集团有限公司（盖单位章）</w:t>
      </w:r>
    </w:p>
    <w:p>
      <w:pPr>
        <w:tabs>
          <w:tab w:val="left" w:pos="5625"/>
        </w:tabs>
        <w:spacing w:line="800" w:lineRule="exact"/>
        <w:ind w:firstLine="829" w:firstLineChars="295"/>
        <w:jc w:val="left"/>
        <w:rPr>
          <w:rFonts w:hint="eastAsia" w:ascii="宋体" w:hAnsi="宋体"/>
          <w:b/>
          <w:color w:val="auto"/>
          <w:sz w:val="28"/>
          <w:szCs w:val="28"/>
          <w:highlight w:val="none"/>
        </w:rPr>
      </w:pPr>
      <w:r>
        <w:rPr>
          <w:rFonts w:hint="eastAsia" w:ascii="宋体" w:hAnsi="宋体"/>
          <w:b/>
          <w:color w:val="auto"/>
          <w:sz w:val="28"/>
          <w:szCs w:val="28"/>
          <w:highlight w:val="none"/>
        </w:rPr>
        <w:t>招标代理单位：</w:t>
      </w:r>
      <w:r>
        <w:rPr>
          <w:rFonts w:hint="eastAsia" w:ascii="宋体" w:hAnsi="宋体"/>
          <w:b/>
          <w:color w:val="auto"/>
          <w:sz w:val="28"/>
          <w:szCs w:val="28"/>
          <w:highlight w:val="none"/>
          <w:lang w:eastAsia="zh-CN"/>
        </w:rPr>
        <w:t>浙江安泰工程咨询有限公司</w:t>
      </w:r>
      <w:r>
        <w:rPr>
          <w:rFonts w:hint="eastAsia" w:ascii="宋体" w:hAnsi="宋体"/>
          <w:b/>
          <w:color w:val="auto"/>
          <w:sz w:val="28"/>
          <w:szCs w:val="28"/>
          <w:highlight w:val="none"/>
        </w:rPr>
        <w:t xml:space="preserve">（盖单位章） </w:t>
      </w:r>
    </w:p>
    <w:p>
      <w:pPr>
        <w:tabs>
          <w:tab w:val="left" w:pos="5625"/>
        </w:tabs>
        <w:spacing w:line="800" w:lineRule="exact"/>
        <w:ind w:firstLine="829" w:firstLineChars="295"/>
        <w:jc w:val="left"/>
        <w:rPr>
          <w:rFonts w:hint="eastAsia" w:ascii="宋体" w:hAnsi="宋体"/>
          <w:color w:val="auto"/>
          <w:sz w:val="18"/>
          <w:szCs w:val="18"/>
          <w:highlight w:val="none"/>
        </w:rPr>
      </w:pPr>
      <w:r>
        <w:rPr>
          <w:rFonts w:hint="eastAsia" w:ascii="宋体" w:hAnsi="宋体"/>
          <w:b/>
          <w:color w:val="auto"/>
          <w:sz w:val="28"/>
          <w:szCs w:val="28"/>
          <w:highlight w:val="none"/>
        </w:rPr>
        <w:t>监管单位：金华市婺城区住房和城乡建设局</w:t>
      </w:r>
    </w:p>
    <w:p>
      <w:pPr>
        <w:tabs>
          <w:tab w:val="left" w:pos="3640"/>
        </w:tabs>
        <w:spacing w:line="800" w:lineRule="exact"/>
        <w:ind w:firstLine="2797" w:firstLineChars="995"/>
        <w:rPr>
          <w:rFonts w:ascii="宋体" w:hAnsi="宋体"/>
          <w:b/>
          <w:color w:val="auto"/>
          <w:sz w:val="28"/>
          <w:szCs w:val="28"/>
          <w:highlight w:val="none"/>
        </w:rPr>
      </w:pPr>
      <w:r>
        <w:rPr>
          <w:rFonts w:ascii="宋体" w:hAnsi="宋体"/>
          <w:b/>
          <w:color w:val="auto"/>
          <w:sz w:val="28"/>
          <w:szCs w:val="28"/>
          <w:highlight w:val="none"/>
        </w:rPr>
        <w:tab/>
      </w:r>
      <w:r>
        <w:rPr>
          <w:rFonts w:hint="eastAsia" w:ascii="宋体" w:hAnsi="宋体"/>
          <w:b/>
          <w:color w:val="auto"/>
          <w:sz w:val="28"/>
          <w:szCs w:val="28"/>
          <w:highlight w:val="none"/>
        </w:rPr>
        <w:t>202</w:t>
      </w:r>
      <w:r>
        <w:rPr>
          <w:rFonts w:hint="eastAsia" w:ascii="宋体" w:hAnsi="宋体"/>
          <w:b/>
          <w:color w:val="auto"/>
          <w:sz w:val="28"/>
          <w:szCs w:val="28"/>
          <w:highlight w:val="none"/>
          <w:lang w:val="en-US" w:eastAsia="zh-CN"/>
        </w:rPr>
        <w:t>1</w:t>
      </w:r>
      <w:r>
        <w:rPr>
          <w:rFonts w:hint="eastAsia" w:ascii="宋体" w:hAnsi="宋体"/>
          <w:b/>
          <w:color w:val="auto"/>
          <w:sz w:val="28"/>
          <w:szCs w:val="28"/>
          <w:highlight w:val="none"/>
        </w:rPr>
        <w:t>年</w:t>
      </w:r>
      <w:r>
        <w:rPr>
          <w:rFonts w:hint="eastAsia" w:ascii="宋体" w:hAnsi="宋体"/>
          <w:b/>
          <w:color w:val="auto"/>
          <w:sz w:val="28"/>
          <w:szCs w:val="28"/>
          <w:highlight w:val="none"/>
          <w:lang w:val="en-US" w:eastAsia="zh-CN"/>
        </w:rPr>
        <w:t>4</w:t>
      </w:r>
      <w:r>
        <w:rPr>
          <w:rFonts w:hint="eastAsia" w:ascii="宋体" w:hAnsi="宋体"/>
          <w:b/>
          <w:color w:val="auto"/>
          <w:sz w:val="28"/>
          <w:szCs w:val="28"/>
          <w:highlight w:val="none"/>
        </w:rPr>
        <w:t>月</w:t>
      </w:r>
    </w:p>
    <w:p>
      <w:pPr>
        <w:tabs>
          <w:tab w:val="left" w:pos="3920"/>
        </w:tabs>
        <w:spacing w:line="360" w:lineRule="auto"/>
        <w:rPr>
          <w:rFonts w:ascii="宋体" w:hAnsi="宋体"/>
          <w:b/>
          <w:color w:val="auto"/>
          <w:sz w:val="18"/>
          <w:szCs w:val="18"/>
          <w:highlight w:val="none"/>
        </w:rPr>
      </w:pPr>
      <w:r>
        <w:rPr>
          <w:rFonts w:ascii="宋体" w:hAnsi="宋体"/>
          <w:b/>
          <w:color w:val="auto"/>
          <w:sz w:val="18"/>
          <w:szCs w:val="18"/>
          <w:highlight w:val="none"/>
        </w:rPr>
        <w:br w:type="page"/>
      </w:r>
    </w:p>
    <w:p>
      <w:pPr>
        <w:spacing w:line="360" w:lineRule="exact"/>
        <w:ind w:firstLine="4156" w:firstLineChars="1150"/>
        <w:rPr>
          <w:rFonts w:ascii="宋体" w:hAnsi="宋体"/>
          <w:b/>
          <w:color w:val="auto"/>
          <w:sz w:val="36"/>
          <w:szCs w:val="36"/>
          <w:highlight w:val="none"/>
        </w:rPr>
      </w:pPr>
      <w:r>
        <w:rPr>
          <w:rFonts w:hint="eastAsia" w:ascii="宋体" w:hAnsi="宋体"/>
          <w:b/>
          <w:color w:val="auto"/>
          <w:sz w:val="36"/>
          <w:szCs w:val="36"/>
          <w:highlight w:val="none"/>
        </w:rPr>
        <w:t>目    录</w:t>
      </w:r>
    </w:p>
    <w:p>
      <w:pPr>
        <w:spacing w:line="360" w:lineRule="exact"/>
        <w:ind w:firstLine="562" w:firstLineChars="200"/>
        <w:jc w:val="center"/>
        <w:rPr>
          <w:rFonts w:ascii="宋体" w:hAnsi="宋体"/>
          <w:b/>
          <w:color w:val="auto"/>
          <w:sz w:val="28"/>
          <w:szCs w:val="28"/>
          <w:highlight w:val="none"/>
        </w:rPr>
      </w:pPr>
    </w:p>
    <w:p>
      <w:pPr>
        <w:pStyle w:val="16"/>
        <w:tabs>
          <w:tab w:val="right" w:leader="dot" w:pos="9628"/>
        </w:tabs>
        <w:spacing w:line="360" w:lineRule="auto"/>
        <w:rPr>
          <w:rFonts w:ascii="宋体" w:hAnsi="宋体"/>
          <w:color w:val="auto"/>
          <w:szCs w:val="21"/>
          <w:highlight w:val="none"/>
        </w:rPr>
      </w:pPr>
      <w:r>
        <w:rPr>
          <w:rFonts w:hint="eastAsia" w:ascii="宋体" w:hAnsi="宋体"/>
          <w:color w:val="auto"/>
          <w:szCs w:val="21"/>
          <w:highlight w:val="none"/>
        </w:rPr>
        <w:t>第一章  招标公告</w:t>
      </w:r>
    </w:p>
    <w:p>
      <w:pPr>
        <w:pStyle w:val="16"/>
        <w:tabs>
          <w:tab w:val="right" w:leader="dot" w:pos="9628"/>
        </w:tabs>
        <w:rPr>
          <w:rFonts w:ascii="Calibri" w:hAnsi="Calibri"/>
          <w:color w:val="auto"/>
          <w:szCs w:val="22"/>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TOC \o "1-3" \h \z \u </w:instrText>
      </w:r>
      <w:r>
        <w:rPr>
          <w:rFonts w:ascii="宋体" w:hAnsi="宋体"/>
          <w:color w:val="auto"/>
          <w:szCs w:val="21"/>
          <w:highlight w:val="none"/>
        </w:rPr>
        <w:fldChar w:fldCharType="separate"/>
      </w:r>
      <w:r>
        <w:rPr>
          <w:color w:val="auto"/>
          <w:highlight w:val="none"/>
        </w:rPr>
        <w:fldChar w:fldCharType="begin"/>
      </w:r>
      <w:r>
        <w:rPr>
          <w:color w:val="auto"/>
          <w:highlight w:val="none"/>
        </w:rPr>
        <w:instrText xml:space="preserve"> HYPERLINK \l "_Toc403986546" </w:instrText>
      </w:r>
      <w:r>
        <w:rPr>
          <w:color w:val="auto"/>
          <w:highlight w:val="none"/>
        </w:rPr>
        <w:fldChar w:fldCharType="separate"/>
      </w:r>
      <w:r>
        <w:rPr>
          <w:rStyle w:val="22"/>
          <w:rFonts w:hint="eastAsia"/>
          <w:color w:val="auto"/>
          <w:highlight w:val="none"/>
        </w:rPr>
        <w:t>第二章</w:t>
      </w:r>
      <w:r>
        <w:rPr>
          <w:rStyle w:val="22"/>
          <w:color w:val="auto"/>
          <w:highlight w:val="none"/>
        </w:rPr>
        <w:t xml:space="preserve"> </w:t>
      </w:r>
      <w:r>
        <w:rPr>
          <w:rStyle w:val="22"/>
          <w:rFonts w:hint="eastAsia"/>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_Toc403986546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"_Toc403986547" </w:instrText>
      </w:r>
      <w:r>
        <w:rPr>
          <w:color w:val="auto"/>
          <w:highlight w:val="none"/>
        </w:rPr>
        <w:fldChar w:fldCharType="separate"/>
      </w:r>
      <w:r>
        <w:rPr>
          <w:rStyle w:val="22"/>
          <w:color w:val="auto"/>
          <w:highlight w:val="none"/>
        </w:rPr>
        <w:t xml:space="preserve">1 </w:t>
      </w:r>
      <w:r>
        <w:rPr>
          <w:rStyle w:val="22"/>
          <w:rFonts w:hint="eastAsia"/>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_Toc403986547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"_Toc403986548" </w:instrText>
      </w:r>
      <w:r>
        <w:rPr>
          <w:color w:val="auto"/>
          <w:highlight w:val="none"/>
        </w:rPr>
        <w:fldChar w:fldCharType="separate"/>
      </w:r>
      <w:r>
        <w:rPr>
          <w:rStyle w:val="22"/>
          <w:color w:val="auto"/>
          <w:highlight w:val="none"/>
        </w:rPr>
        <w:t>2</w:t>
      </w:r>
      <w:r>
        <w:rPr>
          <w:rStyle w:val="22"/>
          <w:rFonts w:hint="eastAsia"/>
          <w:color w:val="auto"/>
          <w:highlight w:val="none"/>
        </w:rPr>
        <w:t>．招标文件</w:t>
      </w:r>
      <w:r>
        <w:rPr>
          <w:color w:val="auto"/>
          <w:highlight w:val="none"/>
        </w:rPr>
        <w:tab/>
      </w:r>
      <w:r>
        <w:rPr>
          <w:color w:val="auto"/>
          <w:highlight w:val="none"/>
        </w:rPr>
        <w:fldChar w:fldCharType="begin"/>
      </w:r>
      <w:r>
        <w:rPr>
          <w:color w:val="auto"/>
          <w:highlight w:val="none"/>
        </w:rPr>
        <w:instrText xml:space="preserve"> PAGEREF _Toc403986548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"_Toc403986549" </w:instrText>
      </w:r>
      <w:r>
        <w:rPr>
          <w:color w:val="auto"/>
          <w:highlight w:val="none"/>
        </w:rPr>
        <w:fldChar w:fldCharType="separate"/>
      </w:r>
      <w:r>
        <w:rPr>
          <w:rStyle w:val="22"/>
          <w:color w:val="auto"/>
          <w:highlight w:val="none"/>
        </w:rPr>
        <w:t>3</w:t>
      </w:r>
      <w:r>
        <w:rPr>
          <w:rStyle w:val="22"/>
          <w:rFonts w:hint="eastAsia"/>
          <w:color w:val="auto"/>
          <w:highlight w:val="none"/>
        </w:rPr>
        <w:t>．投标文件</w:t>
      </w:r>
      <w:r>
        <w:rPr>
          <w:color w:val="auto"/>
          <w:highlight w:val="none"/>
        </w:rPr>
        <w:tab/>
      </w:r>
      <w:r>
        <w:rPr>
          <w:color w:val="auto"/>
          <w:highlight w:val="none"/>
        </w:rPr>
        <w:fldChar w:fldCharType="begin"/>
      </w:r>
      <w:r>
        <w:rPr>
          <w:color w:val="auto"/>
          <w:highlight w:val="none"/>
        </w:rPr>
        <w:instrText xml:space="preserve"> PAGEREF _Toc403986549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"_Toc403986550" </w:instrText>
      </w:r>
      <w:r>
        <w:rPr>
          <w:color w:val="auto"/>
          <w:highlight w:val="none"/>
        </w:rPr>
        <w:fldChar w:fldCharType="separate"/>
      </w:r>
      <w:r>
        <w:rPr>
          <w:rStyle w:val="22"/>
          <w:color w:val="auto"/>
          <w:highlight w:val="none"/>
        </w:rPr>
        <w:t>4</w:t>
      </w:r>
      <w:r>
        <w:rPr>
          <w:rStyle w:val="22"/>
          <w:rFonts w:hint="eastAsia"/>
          <w:color w:val="auto"/>
          <w:highlight w:val="none"/>
        </w:rPr>
        <w:t>．投标</w:t>
      </w:r>
      <w:r>
        <w:rPr>
          <w:color w:val="auto"/>
          <w:highlight w:val="none"/>
        </w:rPr>
        <w:tab/>
      </w:r>
      <w:r>
        <w:rPr>
          <w:color w:val="auto"/>
          <w:highlight w:val="none"/>
        </w:rPr>
        <w:fldChar w:fldCharType="begin"/>
      </w:r>
      <w:r>
        <w:rPr>
          <w:color w:val="auto"/>
          <w:highlight w:val="none"/>
        </w:rPr>
        <w:instrText xml:space="preserve"> PAGEREF _Toc403986550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"_Toc403986551" </w:instrText>
      </w:r>
      <w:r>
        <w:rPr>
          <w:color w:val="auto"/>
          <w:highlight w:val="none"/>
        </w:rPr>
        <w:fldChar w:fldCharType="separate"/>
      </w:r>
      <w:r>
        <w:rPr>
          <w:rStyle w:val="22"/>
          <w:color w:val="auto"/>
          <w:highlight w:val="none"/>
        </w:rPr>
        <w:t>5</w:t>
      </w:r>
      <w:r>
        <w:rPr>
          <w:rStyle w:val="22"/>
          <w:rFonts w:hint="eastAsia"/>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_Toc403986551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"_Toc403986552" </w:instrText>
      </w:r>
      <w:r>
        <w:rPr>
          <w:color w:val="auto"/>
          <w:highlight w:val="none"/>
        </w:rPr>
        <w:fldChar w:fldCharType="separate"/>
      </w:r>
      <w:r>
        <w:rPr>
          <w:rStyle w:val="22"/>
          <w:color w:val="auto"/>
          <w:highlight w:val="none"/>
        </w:rPr>
        <w:t>6</w:t>
      </w:r>
      <w:r>
        <w:rPr>
          <w:rStyle w:val="22"/>
          <w:rFonts w:hint="eastAsia"/>
          <w:color w:val="auto"/>
          <w:highlight w:val="none"/>
        </w:rPr>
        <w:t>．评标</w:t>
      </w:r>
      <w:r>
        <w:rPr>
          <w:color w:val="auto"/>
          <w:highlight w:val="none"/>
        </w:rPr>
        <w:tab/>
      </w:r>
      <w:r>
        <w:rPr>
          <w:color w:val="auto"/>
          <w:highlight w:val="none"/>
        </w:rPr>
        <w:fldChar w:fldCharType="begin"/>
      </w:r>
      <w:r>
        <w:rPr>
          <w:color w:val="auto"/>
          <w:highlight w:val="none"/>
        </w:rPr>
        <w:instrText xml:space="preserve"> PAGEREF _Toc403986552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"_Toc403986553" </w:instrText>
      </w:r>
      <w:r>
        <w:rPr>
          <w:color w:val="auto"/>
          <w:highlight w:val="none"/>
        </w:rPr>
        <w:fldChar w:fldCharType="separate"/>
      </w:r>
      <w:r>
        <w:rPr>
          <w:rStyle w:val="22"/>
          <w:rFonts w:ascii="Arial" w:hAnsi="Arial"/>
          <w:color w:val="auto"/>
          <w:highlight w:val="none"/>
        </w:rPr>
        <w:t>7</w:t>
      </w:r>
      <w:r>
        <w:rPr>
          <w:rStyle w:val="22"/>
          <w:rFonts w:hint="eastAsia" w:ascii="Arial" w:hAnsi="Arial"/>
          <w:color w:val="auto"/>
          <w:highlight w:val="none"/>
        </w:rPr>
        <w:t>．</w:t>
      </w:r>
      <w:r>
        <w:rPr>
          <w:rStyle w:val="22"/>
          <w:rFonts w:hint="eastAsia"/>
          <w:color w:val="auto"/>
          <w:highlight w:val="none"/>
        </w:rPr>
        <w:t>合同授予</w:t>
      </w:r>
      <w:r>
        <w:rPr>
          <w:color w:val="auto"/>
          <w:highlight w:val="none"/>
        </w:rPr>
        <w:tab/>
      </w:r>
      <w:r>
        <w:rPr>
          <w:color w:val="auto"/>
          <w:highlight w:val="none"/>
        </w:rPr>
        <w:fldChar w:fldCharType="begin"/>
      </w:r>
      <w:r>
        <w:rPr>
          <w:color w:val="auto"/>
          <w:highlight w:val="none"/>
        </w:rPr>
        <w:instrText xml:space="preserve"> PAGEREF _Toc403986553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"_Toc403986554" </w:instrText>
      </w:r>
      <w:r>
        <w:rPr>
          <w:color w:val="auto"/>
          <w:highlight w:val="none"/>
        </w:rPr>
        <w:fldChar w:fldCharType="separate"/>
      </w:r>
      <w:r>
        <w:rPr>
          <w:rStyle w:val="22"/>
          <w:color w:val="auto"/>
          <w:highlight w:val="none"/>
        </w:rPr>
        <w:t>8</w:t>
      </w:r>
      <w:r>
        <w:rPr>
          <w:rStyle w:val="22"/>
          <w:rFonts w:hint="eastAsia"/>
          <w:color w:val="auto"/>
          <w:highlight w:val="none"/>
        </w:rPr>
        <w:t>．重新组织评标、重新组织招标和不再招标</w:t>
      </w:r>
      <w:r>
        <w:rPr>
          <w:color w:val="auto"/>
          <w:highlight w:val="none"/>
        </w:rPr>
        <w:tab/>
      </w:r>
      <w:r>
        <w:rPr>
          <w:color w:val="auto"/>
          <w:highlight w:val="none"/>
        </w:rPr>
        <w:fldChar w:fldCharType="begin"/>
      </w:r>
      <w:r>
        <w:rPr>
          <w:color w:val="auto"/>
          <w:highlight w:val="none"/>
        </w:rPr>
        <w:instrText xml:space="preserve"> PAGEREF _Toc403986554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"_Toc403986555" </w:instrText>
      </w:r>
      <w:r>
        <w:rPr>
          <w:color w:val="auto"/>
          <w:highlight w:val="none"/>
        </w:rPr>
        <w:fldChar w:fldCharType="separate"/>
      </w:r>
      <w:r>
        <w:rPr>
          <w:rStyle w:val="22"/>
          <w:color w:val="auto"/>
          <w:highlight w:val="none"/>
        </w:rPr>
        <w:t>9</w:t>
      </w:r>
      <w:r>
        <w:rPr>
          <w:rStyle w:val="22"/>
          <w:rFonts w:hint="eastAsia"/>
          <w:color w:val="auto"/>
          <w:highlight w:val="none"/>
        </w:rPr>
        <w:t>．纪律和监督</w:t>
      </w:r>
      <w:r>
        <w:rPr>
          <w:color w:val="auto"/>
          <w:highlight w:val="none"/>
        </w:rPr>
        <w:tab/>
      </w:r>
      <w:r>
        <w:rPr>
          <w:color w:val="auto"/>
          <w:highlight w:val="none"/>
        </w:rPr>
        <w:fldChar w:fldCharType="begin"/>
      </w:r>
      <w:r>
        <w:rPr>
          <w:color w:val="auto"/>
          <w:highlight w:val="none"/>
        </w:rPr>
        <w:instrText xml:space="preserve"> PAGEREF _Toc403986555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6"/>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"_Toc403986556" </w:instrText>
      </w:r>
      <w:r>
        <w:rPr>
          <w:color w:val="auto"/>
          <w:highlight w:val="none"/>
        </w:rPr>
        <w:fldChar w:fldCharType="separate"/>
      </w:r>
      <w:r>
        <w:rPr>
          <w:rStyle w:val="22"/>
          <w:rFonts w:hint="eastAsia"/>
          <w:color w:val="auto"/>
          <w:highlight w:val="none"/>
        </w:rPr>
        <w:t>第三章</w:t>
      </w:r>
      <w:r>
        <w:rPr>
          <w:rStyle w:val="22"/>
          <w:color w:val="auto"/>
          <w:highlight w:val="none"/>
        </w:rPr>
        <w:t xml:space="preserve"> </w:t>
      </w:r>
      <w:r>
        <w:rPr>
          <w:rStyle w:val="22"/>
          <w:rFonts w:hint="eastAsia"/>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_Toc403986556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"_Toc403986557" </w:instrText>
      </w:r>
      <w:r>
        <w:rPr>
          <w:color w:val="auto"/>
          <w:highlight w:val="none"/>
        </w:rPr>
        <w:fldChar w:fldCharType="separate"/>
      </w:r>
      <w:r>
        <w:rPr>
          <w:rStyle w:val="22"/>
          <w:color w:val="auto"/>
          <w:highlight w:val="none"/>
        </w:rPr>
        <w:t>1</w:t>
      </w:r>
      <w:r>
        <w:rPr>
          <w:rStyle w:val="22"/>
          <w:rFonts w:hint="eastAsia"/>
          <w:color w:val="auto"/>
          <w:highlight w:val="none"/>
        </w:rPr>
        <w:t>、评标方法</w:t>
      </w:r>
      <w:r>
        <w:rPr>
          <w:color w:val="auto"/>
          <w:highlight w:val="none"/>
        </w:rPr>
        <w:tab/>
      </w:r>
      <w:r>
        <w:rPr>
          <w:color w:val="auto"/>
          <w:highlight w:val="none"/>
        </w:rPr>
        <w:fldChar w:fldCharType="begin"/>
      </w:r>
      <w:r>
        <w:rPr>
          <w:color w:val="auto"/>
          <w:highlight w:val="none"/>
        </w:rPr>
        <w:instrText xml:space="preserve"> PAGEREF _Toc403986557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"_Toc403986558" </w:instrText>
      </w:r>
      <w:r>
        <w:rPr>
          <w:color w:val="auto"/>
          <w:highlight w:val="none"/>
        </w:rPr>
        <w:fldChar w:fldCharType="separate"/>
      </w:r>
      <w:r>
        <w:rPr>
          <w:rStyle w:val="22"/>
          <w:color w:val="auto"/>
          <w:highlight w:val="none"/>
        </w:rPr>
        <w:t>2</w:t>
      </w:r>
      <w:r>
        <w:rPr>
          <w:rStyle w:val="22"/>
          <w:rFonts w:hint="eastAsia"/>
          <w:color w:val="auto"/>
          <w:highlight w:val="none"/>
        </w:rPr>
        <w:t>、评审标准</w:t>
      </w:r>
      <w:r>
        <w:rPr>
          <w:color w:val="auto"/>
          <w:highlight w:val="none"/>
        </w:rPr>
        <w:tab/>
      </w:r>
      <w:r>
        <w:rPr>
          <w:color w:val="auto"/>
          <w:highlight w:val="none"/>
        </w:rPr>
        <w:fldChar w:fldCharType="begin"/>
      </w:r>
      <w:r>
        <w:rPr>
          <w:color w:val="auto"/>
          <w:highlight w:val="none"/>
        </w:rPr>
        <w:instrText xml:space="preserve"> PAGEREF _Toc403986558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"_Toc403986559" </w:instrText>
      </w:r>
      <w:r>
        <w:rPr>
          <w:color w:val="auto"/>
          <w:highlight w:val="none"/>
        </w:rPr>
        <w:fldChar w:fldCharType="separate"/>
      </w:r>
      <w:r>
        <w:rPr>
          <w:rStyle w:val="22"/>
          <w:color w:val="auto"/>
          <w:highlight w:val="none"/>
        </w:rPr>
        <w:t xml:space="preserve">2.1 </w:t>
      </w:r>
      <w:r>
        <w:rPr>
          <w:rStyle w:val="22"/>
          <w:rFonts w:hint="eastAsia"/>
          <w:color w:val="auto"/>
          <w:highlight w:val="none"/>
        </w:rPr>
        <w:t>初步评审标准</w:t>
      </w:r>
      <w:r>
        <w:rPr>
          <w:color w:val="auto"/>
          <w:highlight w:val="none"/>
        </w:rPr>
        <w:tab/>
      </w:r>
      <w:r>
        <w:rPr>
          <w:color w:val="auto"/>
          <w:highlight w:val="none"/>
        </w:rPr>
        <w:fldChar w:fldCharType="begin"/>
      </w:r>
      <w:r>
        <w:rPr>
          <w:color w:val="auto"/>
          <w:highlight w:val="none"/>
        </w:rPr>
        <w:instrText xml:space="preserve"> PAGEREF _Toc403986559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"_Toc403986560" </w:instrText>
      </w:r>
      <w:r>
        <w:rPr>
          <w:color w:val="auto"/>
          <w:highlight w:val="none"/>
        </w:rPr>
        <w:fldChar w:fldCharType="separate"/>
      </w:r>
      <w:r>
        <w:rPr>
          <w:rStyle w:val="22"/>
          <w:color w:val="auto"/>
          <w:highlight w:val="none"/>
        </w:rPr>
        <w:t xml:space="preserve">2.2 </w:t>
      </w:r>
      <w:r>
        <w:rPr>
          <w:rStyle w:val="22"/>
          <w:rFonts w:hint="eastAsia"/>
          <w:color w:val="auto"/>
          <w:highlight w:val="none"/>
        </w:rPr>
        <w:t>分值构成与评分标准</w:t>
      </w:r>
      <w:r>
        <w:rPr>
          <w:color w:val="auto"/>
          <w:highlight w:val="none"/>
        </w:rPr>
        <w:tab/>
      </w:r>
      <w:r>
        <w:rPr>
          <w:color w:val="auto"/>
          <w:highlight w:val="none"/>
        </w:rPr>
        <w:fldChar w:fldCharType="begin"/>
      </w:r>
      <w:r>
        <w:rPr>
          <w:color w:val="auto"/>
          <w:highlight w:val="none"/>
        </w:rPr>
        <w:instrText xml:space="preserve"> PAGEREF _Toc403986560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"_Toc403986561" </w:instrText>
      </w:r>
      <w:r>
        <w:rPr>
          <w:color w:val="auto"/>
          <w:highlight w:val="none"/>
        </w:rPr>
        <w:fldChar w:fldCharType="separate"/>
      </w:r>
      <w:r>
        <w:rPr>
          <w:rStyle w:val="22"/>
          <w:color w:val="auto"/>
          <w:highlight w:val="none"/>
        </w:rPr>
        <w:t>3</w:t>
      </w:r>
      <w:r>
        <w:rPr>
          <w:rStyle w:val="22"/>
          <w:rFonts w:hint="eastAsia"/>
          <w:color w:val="auto"/>
          <w:highlight w:val="none"/>
        </w:rPr>
        <w:t>、评标程序</w:t>
      </w:r>
      <w:r>
        <w:rPr>
          <w:color w:val="auto"/>
          <w:highlight w:val="none"/>
        </w:rPr>
        <w:tab/>
      </w:r>
      <w:r>
        <w:rPr>
          <w:color w:val="auto"/>
          <w:highlight w:val="none"/>
        </w:rPr>
        <w:fldChar w:fldCharType="begin"/>
      </w:r>
      <w:r>
        <w:rPr>
          <w:color w:val="auto"/>
          <w:highlight w:val="none"/>
        </w:rPr>
        <w:instrText xml:space="preserve"> PAGEREF _Toc403986561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"_Toc403986562" </w:instrText>
      </w:r>
      <w:r>
        <w:rPr>
          <w:color w:val="auto"/>
          <w:highlight w:val="none"/>
        </w:rPr>
        <w:fldChar w:fldCharType="separate"/>
      </w:r>
      <w:r>
        <w:rPr>
          <w:rStyle w:val="22"/>
          <w:color w:val="auto"/>
          <w:highlight w:val="none"/>
        </w:rPr>
        <w:t xml:space="preserve">3.1 </w:t>
      </w:r>
      <w:r>
        <w:rPr>
          <w:rStyle w:val="22"/>
          <w:rFonts w:hint="eastAsia"/>
          <w:color w:val="auto"/>
          <w:highlight w:val="none"/>
        </w:rPr>
        <w:t>初步评审</w:t>
      </w:r>
      <w:r>
        <w:rPr>
          <w:color w:val="auto"/>
          <w:highlight w:val="none"/>
        </w:rPr>
        <w:tab/>
      </w:r>
      <w:r>
        <w:rPr>
          <w:color w:val="auto"/>
          <w:highlight w:val="none"/>
        </w:rPr>
        <w:fldChar w:fldCharType="begin"/>
      </w:r>
      <w:r>
        <w:rPr>
          <w:color w:val="auto"/>
          <w:highlight w:val="none"/>
        </w:rPr>
        <w:instrText xml:space="preserve"> PAGEREF _Toc403986562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"_Toc403986563" </w:instrText>
      </w:r>
      <w:r>
        <w:rPr>
          <w:color w:val="auto"/>
          <w:highlight w:val="none"/>
        </w:rPr>
        <w:fldChar w:fldCharType="separate"/>
      </w:r>
      <w:r>
        <w:rPr>
          <w:rStyle w:val="22"/>
          <w:color w:val="auto"/>
          <w:highlight w:val="none"/>
        </w:rPr>
        <w:t xml:space="preserve">3.2 </w:t>
      </w:r>
      <w:r>
        <w:rPr>
          <w:rStyle w:val="22"/>
          <w:rFonts w:hint="eastAsia"/>
          <w:color w:val="auto"/>
          <w:highlight w:val="none"/>
        </w:rPr>
        <w:t>详细评审</w:t>
      </w:r>
      <w:r>
        <w:rPr>
          <w:color w:val="auto"/>
          <w:highlight w:val="none"/>
        </w:rPr>
        <w:tab/>
      </w:r>
      <w:r>
        <w:rPr>
          <w:color w:val="auto"/>
          <w:highlight w:val="none"/>
        </w:rPr>
        <w:fldChar w:fldCharType="begin"/>
      </w:r>
      <w:r>
        <w:rPr>
          <w:color w:val="auto"/>
          <w:highlight w:val="none"/>
        </w:rPr>
        <w:instrText xml:space="preserve"> PAGEREF _Toc403986563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6"/>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"_Toc403986564" </w:instrText>
      </w:r>
      <w:r>
        <w:rPr>
          <w:color w:val="auto"/>
          <w:highlight w:val="none"/>
        </w:rPr>
        <w:fldChar w:fldCharType="separate"/>
      </w:r>
      <w:r>
        <w:rPr>
          <w:rStyle w:val="22"/>
          <w:rFonts w:hint="eastAsia"/>
          <w:color w:val="auto"/>
          <w:highlight w:val="none"/>
        </w:rPr>
        <w:t>第四章</w:t>
      </w:r>
      <w:r>
        <w:rPr>
          <w:rStyle w:val="22"/>
          <w:color w:val="auto"/>
          <w:highlight w:val="none"/>
        </w:rPr>
        <w:t xml:space="preserve"> </w:t>
      </w:r>
      <w:r>
        <w:rPr>
          <w:rStyle w:val="22"/>
          <w:rFonts w:hint="eastAsia"/>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_Toc403986564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"_Toc403986565" </w:instrText>
      </w:r>
      <w:r>
        <w:rPr>
          <w:color w:val="auto"/>
          <w:highlight w:val="none"/>
        </w:rPr>
        <w:fldChar w:fldCharType="separate"/>
      </w:r>
      <w:r>
        <w:rPr>
          <w:rStyle w:val="22"/>
          <w:rFonts w:hint="eastAsia"/>
          <w:color w:val="auto"/>
          <w:highlight w:val="none"/>
        </w:rPr>
        <w:t>第一节</w:t>
      </w:r>
      <w:r>
        <w:rPr>
          <w:rStyle w:val="22"/>
          <w:color w:val="auto"/>
          <w:highlight w:val="none"/>
        </w:rPr>
        <w:t xml:space="preserve"> </w:t>
      </w:r>
      <w:r>
        <w:rPr>
          <w:rStyle w:val="22"/>
          <w:rFonts w:hint="eastAsia"/>
          <w:color w:val="auto"/>
          <w:highlight w:val="none"/>
        </w:rPr>
        <w:t>标准条件</w:t>
      </w:r>
      <w:r>
        <w:rPr>
          <w:color w:val="auto"/>
          <w:highlight w:val="none"/>
        </w:rPr>
        <w:tab/>
      </w:r>
      <w:r>
        <w:rPr>
          <w:color w:val="auto"/>
          <w:highlight w:val="none"/>
        </w:rPr>
        <w:fldChar w:fldCharType="end"/>
      </w:r>
      <w:r>
        <w:rPr>
          <w:rFonts w:hint="eastAsia"/>
          <w:color w:val="auto"/>
          <w:highlight w:val="none"/>
        </w:rPr>
        <w:t>22</w:t>
      </w:r>
    </w:p>
    <w:p>
      <w:pPr>
        <w:pStyle w:val="10"/>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"_Toc403986566" </w:instrText>
      </w:r>
      <w:r>
        <w:rPr>
          <w:color w:val="auto"/>
          <w:highlight w:val="none"/>
        </w:rPr>
        <w:fldChar w:fldCharType="separate"/>
      </w:r>
      <w:r>
        <w:rPr>
          <w:rStyle w:val="22"/>
          <w:rFonts w:hint="eastAsia"/>
          <w:color w:val="auto"/>
          <w:highlight w:val="none"/>
        </w:rPr>
        <w:t>第二节</w:t>
      </w:r>
      <w:r>
        <w:rPr>
          <w:rStyle w:val="22"/>
          <w:color w:val="auto"/>
          <w:highlight w:val="none"/>
        </w:rPr>
        <w:t xml:space="preserve"> </w:t>
      </w:r>
      <w:r>
        <w:rPr>
          <w:rStyle w:val="22"/>
          <w:rFonts w:hint="eastAsia"/>
          <w:color w:val="auto"/>
          <w:highlight w:val="none"/>
        </w:rPr>
        <w:t>专用条件</w:t>
      </w:r>
      <w:r>
        <w:rPr>
          <w:color w:val="auto"/>
          <w:highlight w:val="none"/>
        </w:rPr>
        <w:tab/>
      </w:r>
      <w:r>
        <w:rPr>
          <w:rFonts w:hint="eastAsia"/>
          <w:color w:val="auto"/>
          <w:highlight w:val="none"/>
        </w:rPr>
        <w:t>26</w:t>
      </w:r>
      <w:r>
        <w:rPr>
          <w:rFonts w:hint="eastAsia"/>
          <w:color w:val="auto"/>
          <w:highlight w:val="none"/>
        </w:rPr>
        <w:fldChar w:fldCharType="end"/>
      </w:r>
    </w:p>
    <w:p>
      <w:pPr>
        <w:pStyle w:val="16"/>
        <w:tabs>
          <w:tab w:val="right" w:leader="dot" w:pos="9628"/>
        </w:tabs>
        <w:rPr>
          <w:rFonts w:ascii="Calibri" w:hAnsi="Calibri"/>
          <w:color w:val="auto"/>
          <w:szCs w:val="22"/>
          <w:highlight w:val="none"/>
        </w:rPr>
      </w:pPr>
      <w:r>
        <w:rPr>
          <w:color w:val="auto"/>
          <w:highlight w:val="none"/>
        </w:rPr>
        <w:fldChar w:fldCharType="begin"/>
      </w:r>
      <w:r>
        <w:rPr>
          <w:color w:val="auto"/>
          <w:highlight w:val="none"/>
        </w:rPr>
        <w:instrText xml:space="preserve"> HYPERLINK \l "_Toc403986567" </w:instrText>
      </w:r>
      <w:r>
        <w:rPr>
          <w:color w:val="auto"/>
          <w:highlight w:val="none"/>
        </w:rPr>
        <w:fldChar w:fldCharType="separate"/>
      </w:r>
      <w:r>
        <w:rPr>
          <w:rStyle w:val="22"/>
          <w:rFonts w:hint="eastAsia"/>
          <w:color w:val="auto"/>
          <w:highlight w:val="none"/>
        </w:rPr>
        <w:t>第五章</w:t>
      </w:r>
      <w:r>
        <w:rPr>
          <w:rStyle w:val="22"/>
          <w:color w:val="auto"/>
          <w:highlight w:val="none"/>
        </w:rPr>
        <w:t xml:space="preserve">  </w:t>
      </w:r>
      <w:r>
        <w:rPr>
          <w:rStyle w:val="22"/>
          <w:rFonts w:hint="eastAsia"/>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_Toc403986567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0"/>
        <w:tabs>
          <w:tab w:val="right" w:leader="dot" w:pos="9628"/>
        </w:tabs>
        <w:rPr>
          <w:rFonts w:ascii="Calibri" w:hAnsi="Calibri"/>
          <w:color w:val="auto"/>
          <w:szCs w:val="22"/>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fldChar w:fldCharType="end"/>
      </w:r>
    </w:p>
    <w:p>
      <w:pPr>
        <w:rPr>
          <w:rFonts w:ascii="宋体" w:hAnsi="宋体"/>
          <w:color w:val="auto"/>
          <w:szCs w:val="21"/>
          <w:highlight w:val="none"/>
        </w:rPr>
      </w:pPr>
    </w:p>
    <w:p>
      <w:pPr>
        <w:rPr>
          <w:rFonts w:ascii="宋体" w:hAnsi="宋体"/>
          <w:color w:val="auto"/>
          <w:szCs w:val="21"/>
          <w:highlight w:val="none"/>
        </w:rPr>
      </w:pPr>
    </w:p>
    <w:p>
      <w:pPr>
        <w:tabs>
          <w:tab w:val="left" w:pos="7155"/>
        </w:tabs>
        <w:rPr>
          <w:rFonts w:ascii="宋体" w:hAnsi="宋体"/>
          <w:color w:val="auto"/>
          <w:szCs w:val="21"/>
          <w:highlight w:val="none"/>
        </w:rPr>
      </w:pPr>
      <w:r>
        <w:rPr>
          <w:rFonts w:ascii="宋体" w:hAnsi="宋体"/>
          <w:color w:val="auto"/>
          <w:szCs w:val="21"/>
          <w:highlight w:val="none"/>
        </w:rPr>
        <w:tab/>
      </w:r>
    </w:p>
    <w:p>
      <w:pPr>
        <w:spacing w:line="360" w:lineRule="auto"/>
        <w:jc w:val="center"/>
        <w:rPr>
          <w:b/>
          <w:bCs/>
          <w:color w:val="auto"/>
          <w:sz w:val="36"/>
          <w:highlight w:val="none"/>
        </w:rPr>
      </w:pPr>
    </w:p>
    <w:p>
      <w:pPr>
        <w:spacing w:line="360" w:lineRule="auto"/>
        <w:jc w:val="center"/>
        <w:rPr>
          <w:b/>
          <w:bCs/>
          <w:color w:val="auto"/>
          <w:sz w:val="36"/>
          <w:highlight w:val="none"/>
        </w:rPr>
      </w:pPr>
    </w:p>
    <w:p>
      <w:pPr>
        <w:spacing w:line="360" w:lineRule="auto"/>
        <w:jc w:val="center"/>
        <w:rPr>
          <w:b/>
          <w:bCs/>
          <w:color w:val="auto"/>
          <w:sz w:val="36"/>
          <w:highlight w:val="none"/>
        </w:rPr>
      </w:pPr>
    </w:p>
    <w:p>
      <w:pPr>
        <w:spacing w:line="360" w:lineRule="auto"/>
        <w:jc w:val="center"/>
        <w:rPr>
          <w:b/>
          <w:bCs/>
          <w:color w:val="auto"/>
          <w:sz w:val="36"/>
          <w:highlight w:val="none"/>
        </w:rPr>
      </w:pPr>
    </w:p>
    <w:p>
      <w:pPr>
        <w:spacing w:line="360" w:lineRule="auto"/>
        <w:jc w:val="center"/>
        <w:rPr>
          <w:b/>
          <w:bCs/>
          <w:color w:val="auto"/>
          <w:sz w:val="36"/>
          <w:highlight w:val="none"/>
        </w:rPr>
      </w:pPr>
    </w:p>
    <w:p>
      <w:pPr>
        <w:spacing w:line="360" w:lineRule="auto"/>
        <w:jc w:val="center"/>
        <w:rPr>
          <w:b/>
          <w:bCs/>
          <w:color w:val="auto"/>
          <w:sz w:val="36"/>
          <w:highlight w:val="none"/>
        </w:rPr>
      </w:pPr>
    </w:p>
    <w:p>
      <w:pPr>
        <w:spacing w:line="360" w:lineRule="auto"/>
        <w:jc w:val="center"/>
        <w:rPr>
          <w:b/>
          <w:bCs/>
          <w:color w:val="auto"/>
          <w:sz w:val="36"/>
          <w:highlight w:val="none"/>
        </w:rPr>
      </w:pPr>
      <w:r>
        <w:rPr>
          <w:rFonts w:hint="eastAsia"/>
          <w:b/>
          <w:bCs/>
          <w:color w:val="auto"/>
          <w:sz w:val="36"/>
          <w:highlight w:val="none"/>
        </w:rPr>
        <w:t>第一章  招 标 公 告</w:t>
      </w:r>
      <w:bookmarkStart w:id="39" w:name="_GoBack"/>
      <w:bookmarkEnd w:id="39"/>
    </w:p>
    <w:p>
      <w:pPr>
        <w:spacing w:line="360" w:lineRule="exact"/>
        <w:rPr>
          <w:color w:val="auto"/>
          <w:highlight w:val="none"/>
          <w:u w:val="single"/>
        </w:rPr>
      </w:pPr>
    </w:p>
    <w:p>
      <w:pPr>
        <w:spacing w:line="400" w:lineRule="exac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lang w:eastAsia="zh-CN"/>
        </w:rPr>
        <w:t>金华市婺城区安居工程城中村改造项目（城西西郊三期）</w:t>
      </w:r>
      <w:r>
        <w:rPr>
          <w:rFonts w:hint="eastAsia" w:ascii="宋体" w:hAnsi="宋体"/>
          <w:color w:val="auto"/>
          <w:szCs w:val="21"/>
          <w:highlight w:val="none"/>
          <w:u w:val="single"/>
        </w:rPr>
        <w:t>监理招标</w:t>
      </w:r>
      <w:r>
        <w:rPr>
          <w:rFonts w:hint="eastAsia" w:ascii="宋体" w:hAnsi="宋体"/>
          <w:color w:val="auto"/>
          <w:szCs w:val="21"/>
          <w:highlight w:val="none"/>
        </w:rPr>
        <w:t>，已由</w:t>
      </w:r>
      <w:r>
        <w:rPr>
          <w:rFonts w:hint="eastAsia"/>
          <w:color w:val="auto"/>
          <w:szCs w:val="21"/>
          <w:highlight w:val="none"/>
        </w:rPr>
        <w:t>相关</w:t>
      </w:r>
      <w:r>
        <w:rPr>
          <w:rFonts w:hint="eastAsia" w:ascii="宋体" w:hAnsi="宋体"/>
          <w:color w:val="auto"/>
          <w:szCs w:val="21"/>
          <w:highlight w:val="none"/>
        </w:rPr>
        <w:t>文件批准建设，</w:t>
      </w:r>
      <w:r>
        <w:rPr>
          <w:rFonts w:hint="eastAsia"/>
          <w:color w:val="auto"/>
          <w:szCs w:val="21"/>
          <w:highlight w:val="none"/>
        </w:rPr>
        <w:t>招标人为</w:t>
      </w:r>
      <w:r>
        <w:rPr>
          <w:rFonts w:hint="eastAsia" w:ascii="宋体" w:hAnsi="宋体"/>
          <w:color w:val="auto"/>
          <w:szCs w:val="21"/>
          <w:highlight w:val="none"/>
          <w:u w:val="single"/>
        </w:rPr>
        <w:t>金华市婺城区城乡建设投资集团有限公司</w:t>
      </w:r>
      <w:r>
        <w:rPr>
          <w:rFonts w:hint="eastAsia"/>
          <w:color w:val="auto"/>
          <w:szCs w:val="21"/>
          <w:highlight w:val="none"/>
        </w:rPr>
        <w:t>，</w:t>
      </w:r>
      <w:r>
        <w:rPr>
          <w:rFonts w:hint="eastAsia" w:ascii="宋体" w:hAnsi="宋体"/>
          <w:color w:val="auto"/>
          <w:szCs w:val="21"/>
          <w:highlight w:val="none"/>
        </w:rPr>
        <w:t>建设</w:t>
      </w:r>
      <w:r>
        <w:rPr>
          <w:rFonts w:hint="eastAsia" w:ascii="宋体" w:hAnsi="宋体"/>
          <w:color w:val="auto"/>
          <w:szCs w:val="21"/>
          <w:highlight w:val="none"/>
        </w:rPr>
        <w:t>资金来源</w:t>
      </w:r>
      <w:r>
        <w:rPr>
          <w:rFonts w:hint="eastAsia" w:ascii="宋体" w:hAnsi="宋体"/>
          <w:color w:val="auto"/>
          <w:szCs w:val="21"/>
          <w:highlight w:val="none"/>
          <w:u w:val="single"/>
        </w:rPr>
        <w:t>自筹</w:t>
      </w:r>
      <w:r>
        <w:rPr>
          <w:rFonts w:hint="eastAsia" w:ascii="宋体" w:hAnsi="宋体"/>
          <w:color w:val="auto"/>
          <w:szCs w:val="21"/>
          <w:highlight w:val="none"/>
        </w:rPr>
        <w:t>，项目出资比例为</w:t>
      </w:r>
      <w:r>
        <w:rPr>
          <w:rFonts w:hint="eastAsia" w:ascii="宋体" w:hAnsi="宋体"/>
          <w:color w:val="auto"/>
          <w:szCs w:val="21"/>
          <w:highlight w:val="none"/>
          <w:u w:val="single"/>
        </w:rPr>
        <w:t>100%</w:t>
      </w:r>
      <w:r>
        <w:rPr>
          <w:rFonts w:hint="eastAsia" w:ascii="宋体" w:hAnsi="宋体"/>
          <w:color w:val="auto"/>
          <w:szCs w:val="21"/>
          <w:highlight w:val="none"/>
        </w:rPr>
        <w:t>。</w:t>
      </w:r>
      <w:r>
        <w:rPr>
          <w:rFonts w:hint="eastAsia"/>
          <w:color w:val="auto"/>
          <w:highlight w:val="none"/>
        </w:rPr>
        <w:t>现决定对该项目进行公开招标，选定监理服务单位</w:t>
      </w:r>
      <w:r>
        <w:rPr>
          <w:rFonts w:hint="eastAsia" w:ascii="宋体" w:hAnsi="宋体"/>
          <w:color w:val="auto"/>
          <w:szCs w:val="21"/>
          <w:highlight w:val="none"/>
        </w:rPr>
        <w:t>。</w:t>
      </w:r>
    </w:p>
    <w:p>
      <w:pPr>
        <w:spacing w:line="400" w:lineRule="exact"/>
        <w:rPr>
          <w:rFonts w:ascii="宋体" w:hAnsi="宋体" w:cs="宋体"/>
          <w:color w:val="auto"/>
          <w:kern w:val="0"/>
          <w:szCs w:val="21"/>
          <w:highlight w:val="none"/>
        </w:rPr>
      </w:pPr>
      <w:r>
        <w:rPr>
          <w:rFonts w:hint="eastAsia" w:ascii="宋体" w:hAnsi="宋体"/>
          <w:color w:val="auto"/>
          <w:szCs w:val="21"/>
          <w:highlight w:val="none"/>
        </w:rPr>
        <w:t>2．本次招标</w:t>
      </w:r>
      <w:r>
        <w:rPr>
          <w:rFonts w:hint="eastAsia" w:ascii="宋体" w:hAnsi="宋体" w:cs="宋体"/>
          <w:color w:val="auto"/>
          <w:kern w:val="0"/>
          <w:szCs w:val="21"/>
          <w:highlight w:val="none"/>
        </w:rPr>
        <w:t>项目总投资约人民币</w:t>
      </w:r>
      <w:r>
        <w:rPr>
          <w:rFonts w:hint="eastAsia" w:ascii="宋体" w:hAnsi="宋体" w:cs="宋体"/>
          <w:color w:val="auto"/>
          <w:kern w:val="0"/>
          <w:szCs w:val="21"/>
          <w:highlight w:val="none"/>
          <w:u w:val="single"/>
          <w:lang w:val="en-US" w:eastAsia="zh-CN"/>
        </w:rPr>
        <w:t>5.4</w:t>
      </w:r>
      <w:r>
        <w:rPr>
          <w:rFonts w:hint="eastAsia" w:ascii="宋体" w:hAnsi="宋体" w:cs="宋体"/>
          <w:color w:val="auto"/>
          <w:kern w:val="0"/>
          <w:szCs w:val="21"/>
          <w:highlight w:val="none"/>
          <w:u w:val="none"/>
          <w:lang w:val="en-US" w:eastAsia="zh-CN"/>
        </w:rPr>
        <w:t>亿</w:t>
      </w:r>
      <w:r>
        <w:rPr>
          <w:rFonts w:hint="eastAsia" w:ascii="宋体" w:hAnsi="宋体" w:cs="宋体"/>
          <w:color w:val="auto"/>
          <w:kern w:val="0"/>
          <w:szCs w:val="21"/>
          <w:highlight w:val="none"/>
        </w:rPr>
        <w:t>元，其中建安费约</w:t>
      </w:r>
      <w:r>
        <w:rPr>
          <w:rFonts w:hint="eastAsia" w:ascii="宋体" w:hAnsi="宋体" w:cs="宋体"/>
          <w:color w:val="auto"/>
          <w:kern w:val="0"/>
          <w:szCs w:val="21"/>
          <w:highlight w:val="none"/>
          <w:lang w:val="en-US" w:eastAsia="zh-CN"/>
        </w:rPr>
        <w:t>4.1</w:t>
      </w:r>
      <w:r>
        <w:rPr>
          <w:rFonts w:hint="eastAsia" w:ascii="宋体" w:hAnsi="宋体" w:cs="宋体"/>
          <w:color w:val="auto"/>
          <w:kern w:val="0"/>
          <w:szCs w:val="21"/>
          <w:highlight w:val="none"/>
        </w:rPr>
        <w:t>亿元</w:t>
      </w:r>
      <w:r>
        <w:rPr>
          <w:rFonts w:hint="eastAsia" w:ascii="宋体" w:hAnsi="宋体" w:cs="宋体"/>
          <w:color w:val="auto"/>
          <w:kern w:val="0"/>
          <w:szCs w:val="21"/>
          <w:highlight w:val="none"/>
        </w:rPr>
        <w:t>（具体以实际为准）</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采用全过程代建开发模式建设</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2.1工程概况：</w:t>
      </w:r>
      <w:r>
        <w:rPr>
          <w:rFonts w:ascii="宋体" w:hAnsi="宋体" w:cs="宋体"/>
          <w:color w:val="auto"/>
          <w:kern w:val="0"/>
          <w:highlight w:val="none"/>
          <w:shd w:val="clear" w:color="auto" w:fill="FFFFFF"/>
        </w:rPr>
        <w:t>规划地块总用地面积5</w:t>
      </w:r>
      <w:r>
        <w:rPr>
          <w:rFonts w:hint="eastAsia" w:ascii="宋体" w:hAnsi="宋体" w:cs="宋体"/>
          <w:color w:val="auto"/>
          <w:kern w:val="0"/>
          <w:highlight w:val="none"/>
          <w:shd w:val="clear" w:color="auto" w:fill="FFFFFF"/>
          <w:lang w:val="en-US" w:eastAsia="zh-CN"/>
        </w:rPr>
        <w:t>7.6</w:t>
      </w:r>
      <w:r>
        <w:rPr>
          <w:rFonts w:ascii="宋体" w:hAnsi="宋体" w:cs="宋体"/>
          <w:color w:val="auto"/>
          <w:kern w:val="0"/>
          <w:highlight w:val="none"/>
          <w:shd w:val="clear" w:color="auto" w:fill="FFFFFF"/>
        </w:rPr>
        <w:t>亩，总建筑面积</w:t>
      </w:r>
      <w:r>
        <w:rPr>
          <w:rFonts w:hint="eastAsia" w:ascii="宋体" w:hAnsi="宋体" w:cs="宋体"/>
          <w:color w:val="auto"/>
          <w:kern w:val="0"/>
          <w:highlight w:val="none"/>
          <w:shd w:val="clear" w:color="auto" w:fill="FFFFFF"/>
          <w:lang w:val="en-US" w:eastAsia="zh-CN"/>
        </w:rPr>
        <w:t>119864.2</w:t>
      </w:r>
      <w:r>
        <w:rPr>
          <w:rFonts w:ascii="宋体" w:hAnsi="宋体" w:cs="宋体"/>
          <w:color w:val="auto"/>
          <w:kern w:val="0"/>
          <w:highlight w:val="none"/>
          <w:shd w:val="clear" w:color="auto" w:fill="FFFFFF"/>
        </w:rPr>
        <w:t>㎡</w:t>
      </w:r>
      <w:r>
        <w:rPr>
          <w:rFonts w:hint="eastAsia" w:ascii="宋体" w:hAnsi="宋体"/>
          <w:color w:val="auto"/>
          <w:szCs w:val="21"/>
          <w:highlight w:val="none"/>
        </w:rPr>
        <w:t>，其中</w:t>
      </w:r>
      <w:r>
        <w:rPr>
          <w:rFonts w:hint="eastAsia" w:ascii="宋体" w:hAnsi="宋体"/>
          <w:color w:val="auto"/>
          <w:szCs w:val="21"/>
          <w:highlight w:val="none"/>
          <w:lang w:eastAsia="zh-CN"/>
        </w:rPr>
        <w:t>地上</w:t>
      </w:r>
      <w:r>
        <w:rPr>
          <w:rFonts w:hint="eastAsia" w:ascii="宋体" w:hAnsi="宋体"/>
          <w:color w:val="auto"/>
          <w:szCs w:val="21"/>
          <w:highlight w:val="none"/>
        </w:rPr>
        <w:t>建筑面积约</w:t>
      </w:r>
      <w:r>
        <w:rPr>
          <w:rFonts w:hint="eastAsia" w:ascii="宋体" w:hAnsi="宋体"/>
          <w:color w:val="auto"/>
          <w:szCs w:val="21"/>
          <w:highlight w:val="none"/>
          <w:lang w:val="en-US" w:eastAsia="zh-CN"/>
        </w:rPr>
        <w:t>88562</w:t>
      </w:r>
      <w:r>
        <w:rPr>
          <w:rFonts w:hint="eastAsia" w:ascii="宋体" w:hAnsi="宋体"/>
          <w:color w:val="auto"/>
          <w:szCs w:val="21"/>
          <w:highlight w:val="none"/>
        </w:rPr>
        <w:t>㎡，地下室面积约</w:t>
      </w:r>
      <w:r>
        <w:rPr>
          <w:rFonts w:hint="eastAsia" w:ascii="宋体" w:hAnsi="宋体"/>
          <w:color w:val="auto"/>
          <w:szCs w:val="21"/>
          <w:highlight w:val="none"/>
          <w:lang w:val="en-US" w:eastAsia="zh-CN"/>
        </w:rPr>
        <w:t>31302.2</w:t>
      </w:r>
      <w:r>
        <w:rPr>
          <w:rFonts w:hint="eastAsia" w:ascii="宋体" w:hAnsi="宋体"/>
          <w:color w:val="auto"/>
          <w:szCs w:val="21"/>
          <w:highlight w:val="none"/>
        </w:rPr>
        <w:t>㎡</w:t>
      </w:r>
      <w:r>
        <w:rPr>
          <w:rFonts w:hint="eastAsia" w:ascii="宋体" w:hAnsi="宋体"/>
          <w:color w:val="auto"/>
          <w:szCs w:val="21"/>
          <w:highlight w:val="none"/>
          <w:lang w:val="en-US" w:eastAsia="zh-CN"/>
        </w:rPr>
        <w:t>,其中人防面积约7980平方米（具体以相关部门审批为准）</w:t>
      </w:r>
      <w:r>
        <w:rPr>
          <w:rFonts w:hint="eastAsia" w:ascii="宋体" w:hAnsi="宋体"/>
          <w:color w:val="auto"/>
          <w:szCs w:val="21"/>
          <w:highlight w:val="none"/>
        </w:rPr>
        <w:t>。容积率≤</w:t>
      </w:r>
      <w:r>
        <w:rPr>
          <w:rFonts w:hint="eastAsia" w:ascii="宋体" w:hAnsi="宋体"/>
          <w:color w:val="auto"/>
          <w:szCs w:val="21"/>
          <w:highlight w:val="none"/>
          <w:lang w:val="en-US" w:eastAsia="zh-CN"/>
        </w:rPr>
        <w:t>2.3</w:t>
      </w:r>
      <w:r>
        <w:rPr>
          <w:rFonts w:hint="eastAsia" w:ascii="宋体" w:hAnsi="宋体"/>
          <w:color w:val="auto"/>
          <w:szCs w:val="21"/>
          <w:highlight w:val="none"/>
        </w:rPr>
        <w:t>，</w:t>
      </w:r>
      <w:r>
        <w:rPr>
          <w:rFonts w:hint="eastAsia" w:ascii="宋体" w:hAnsi="宋体"/>
          <w:color w:val="auto"/>
          <w:szCs w:val="21"/>
          <w:highlight w:val="none"/>
        </w:rPr>
        <w:t>建筑占地面积</w:t>
      </w:r>
      <w:r>
        <w:rPr>
          <w:rFonts w:hint="eastAsia" w:ascii="宋体" w:hAnsi="宋体"/>
          <w:color w:val="auto"/>
          <w:szCs w:val="21"/>
          <w:highlight w:val="none"/>
        </w:rPr>
        <w:t>约</w:t>
      </w:r>
      <w:r>
        <w:rPr>
          <w:rFonts w:hint="eastAsia" w:ascii="宋体" w:hAnsi="宋体"/>
          <w:color w:val="auto"/>
          <w:szCs w:val="21"/>
          <w:highlight w:val="none"/>
          <w:lang w:val="en-US" w:eastAsia="zh-CN"/>
        </w:rPr>
        <w:t>9636</w:t>
      </w:r>
      <w:r>
        <w:rPr>
          <w:rFonts w:hint="eastAsia" w:ascii="宋体" w:hAnsi="宋体"/>
          <w:color w:val="auto"/>
          <w:szCs w:val="21"/>
          <w:highlight w:val="none"/>
        </w:rPr>
        <w:t>㎡，建筑密度≤</w:t>
      </w:r>
      <w:r>
        <w:rPr>
          <w:rFonts w:hint="eastAsia" w:ascii="宋体" w:hAnsi="宋体"/>
          <w:color w:val="auto"/>
          <w:szCs w:val="21"/>
          <w:highlight w:val="none"/>
          <w:lang w:val="en-US" w:eastAsia="zh-CN"/>
        </w:rPr>
        <w:t xml:space="preserve"> 25</w:t>
      </w:r>
      <w:r>
        <w:rPr>
          <w:rFonts w:hint="eastAsia" w:ascii="宋体" w:hAnsi="宋体"/>
          <w:color w:val="auto"/>
          <w:szCs w:val="21"/>
          <w:highlight w:val="none"/>
        </w:rPr>
        <w:t>%，绿地率≥</w:t>
      </w:r>
      <w:r>
        <w:rPr>
          <w:rFonts w:hint="eastAsia" w:ascii="宋体" w:hAnsi="宋体"/>
          <w:color w:val="auto"/>
          <w:szCs w:val="21"/>
          <w:highlight w:val="none"/>
          <w:lang w:val="en-US" w:eastAsia="zh-CN"/>
        </w:rPr>
        <w:t>35</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2.2 招标范围：</w:t>
      </w:r>
      <w:r>
        <w:rPr>
          <w:rStyle w:val="46"/>
          <w:rFonts w:hint="eastAsia"/>
          <w:color w:val="auto"/>
          <w:highlight w:val="none"/>
          <w:lang w:eastAsia="zh-CN"/>
        </w:rPr>
        <w:t>金华市婺城区安居工程城中村改造项目（城西西郊三期）</w:t>
      </w:r>
      <w:r>
        <w:rPr>
          <w:rStyle w:val="46"/>
          <w:rFonts w:hint="default"/>
          <w:color w:val="auto"/>
          <w:highlight w:val="none"/>
        </w:rPr>
        <w:t>全过程监理与相关服务，</w:t>
      </w:r>
      <w:r>
        <w:rPr>
          <w:rStyle w:val="46"/>
          <w:rFonts w:hint="default"/>
          <w:color w:val="auto"/>
          <w:highlight w:val="none"/>
        </w:rPr>
        <w:t>包括设计深化与优化、全过程代建开发单位的专项设计、施工、保修等各阶段</w:t>
      </w:r>
      <w:r>
        <w:rPr>
          <w:rStyle w:val="46"/>
          <w:rFonts w:hint="eastAsia"/>
          <w:color w:val="auto"/>
          <w:highlight w:val="none"/>
          <w:lang w:eastAsia="zh-CN"/>
        </w:rPr>
        <w:t>全专业的</w:t>
      </w:r>
      <w:r>
        <w:rPr>
          <w:rStyle w:val="46"/>
          <w:rFonts w:hint="default"/>
          <w:color w:val="auto"/>
          <w:highlight w:val="none"/>
        </w:rPr>
        <w:t>监理工作，监理工作内容包括项目场地范围内全部工程的监理如建筑、安装、装修、景观、绿化、室外附属、暖通、弱电智能化、电梯、人防、小区市政配套工程（自来水、电力、数字电视、网络、二次供水、管道煤气、信报箱、充电桩配电箱等）等本项目全过程代建开发包含的所有内容的全过程监理。监理范围还包括：对代建开发单位的的专项设计、装饰设计、各项</w:t>
      </w:r>
      <w:r>
        <w:rPr>
          <w:rStyle w:val="46"/>
          <w:rFonts w:hint="eastAsia"/>
          <w:color w:val="auto"/>
          <w:highlight w:val="none"/>
          <w:lang w:eastAsia="zh-CN"/>
        </w:rPr>
        <w:t>优化设计及</w:t>
      </w:r>
      <w:r>
        <w:rPr>
          <w:rStyle w:val="46"/>
          <w:rFonts w:hint="default"/>
          <w:color w:val="auto"/>
          <w:highlight w:val="none"/>
        </w:rPr>
        <w:t>设计变更等</w:t>
      </w:r>
      <w:r>
        <w:rPr>
          <w:rStyle w:val="46"/>
          <w:rFonts w:hint="eastAsia"/>
          <w:color w:val="auto"/>
          <w:highlight w:val="none"/>
          <w:lang w:eastAsia="zh-CN"/>
        </w:rPr>
        <w:t>进行监理</w:t>
      </w:r>
      <w:r>
        <w:rPr>
          <w:rStyle w:val="46"/>
          <w:rFonts w:hint="default"/>
          <w:color w:val="auto"/>
          <w:highlight w:val="none"/>
        </w:rPr>
        <w:t>；参与材料、设备的采购并审核是否达到预算标准和约定的建设标准及其他</w:t>
      </w:r>
      <w:r>
        <w:rPr>
          <w:rFonts w:hint="eastAsia" w:ascii="宋体" w:hAnsi="宋体"/>
          <w:color w:val="auto"/>
          <w:szCs w:val="21"/>
          <w:highlight w:val="none"/>
        </w:rPr>
        <w:t>相关监理服务</w:t>
      </w:r>
      <w:r>
        <w:rPr>
          <w:rStyle w:val="46"/>
          <w:rFonts w:hint="default"/>
          <w:color w:val="auto"/>
          <w:highlight w:val="none"/>
        </w:rPr>
        <w:t>内容。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2.2工程建设地点为：</w:t>
      </w:r>
      <w:r>
        <w:rPr>
          <w:rFonts w:hint="eastAsia"/>
          <w:color w:val="auto"/>
          <w:szCs w:val="21"/>
          <w:highlight w:val="none"/>
          <w:lang w:eastAsia="zh-CN"/>
        </w:rPr>
        <w:t>解放西路以南、婺州街以西地块</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2.3计划监理服务期：监理合同签订之日起的项目代建开发期＋缺陷责任期2年（包含代建开发项目的前期阶段、工程实施阶段、工程竣工验收、项目备案移交阶段及质量缺陷期的各项监理服务）。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2.4工程质量要求：不低于国家相关验收的合格标准</w:t>
      </w:r>
      <w:r>
        <w:rPr>
          <w:rFonts w:hint="eastAsia" w:ascii="宋体" w:hAnsi="宋体"/>
          <w:color w:val="auto"/>
          <w:szCs w:val="21"/>
          <w:highlight w:val="none"/>
          <w:lang w:eastAsia="zh-CN"/>
        </w:rPr>
        <w:t>并达到施工合同约定的质量要求</w:t>
      </w:r>
      <w:r>
        <w:rPr>
          <w:rFonts w:hint="eastAsia" w:ascii="宋体" w:hAnsi="宋体"/>
          <w:color w:val="auto"/>
          <w:szCs w:val="21"/>
          <w:highlight w:val="none"/>
        </w:rPr>
        <w:t>。</w:t>
      </w:r>
    </w:p>
    <w:p>
      <w:pPr>
        <w:spacing w:line="400" w:lineRule="exact"/>
        <w:rPr>
          <w:rFonts w:ascii="宋体" w:hAnsi="宋体"/>
          <w:color w:val="auto"/>
          <w:szCs w:val="21"/>
          <w:highlight w:val="none"/>
        </w:rPr>
      </w:pPr>
      <w:r>
        <w:rPr>
          <w:rFonts w:hint="eastAsia" w:ascii="宋体" w:hAnsi="宋体"/>
          <w:color w:val="auto"/>
          <w:szCs w:val="21"/>
          <w:highlight w:val="none"/>
        </w:rPr>
        <w:t>3．资格条件：</w:t>
      </w:r>
    </w:p>
    <w:p>
      <w:pPr>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3.1投标人须具</w:t>
      </w:r>
      <w:r>
        <w:rPr>
          <w:rFonts w:hint="eastAsia" w:ascii="宋体" w:hAnsi="宋体"/>
          <w:color w:val="auto"/>
          <w:szCs w:val="21"/>
          <w:highlight w:val="none"/>
        </w:rPr>
        <w:t>备</w:t>
      </w:r>
      <w:r>
        <w:rPr>
          <w:rFonts w:hint="eastAsia" w:ascii="宋体" w:hAnsi="宋体"/>
          <w:color w:val="auto"/>
          <w:szCs w:val="21"/>
          <w:highlight w:val="none"/>
          <w:u w:val="single"/>
        </w:rPr>
        <w:t>建设行政主管部门核发的工程监理综合资质或房屋建筑工程监理</w:t>
      </w:r>
      <w:r>
        <w:rPr>
          <w:rFonts w:hint="eastAsia" w:ascii="宋体" w:hAnsi="宋体"/>
          <w:color w:val="auto"/>
          <w:szCs w:val="21"/>
          <w:highlight w:val="none"/>
          <w:u w:val="single"/>
          <w:lang w:eastAsia="zh-CN"/>
        </w:rPr>
        <w:t>甲级</w:t>
      </w:r>
      <w:r>
        <w:rPr>
          <w:rFonts w:hint="eastAsia" w:ascii="宋体" w:hAnsi="宋体"/>
          <w:color w:val="auto"/>
          <w:szCs w:val="21"/>
          <w:highlight w:val="none"/>
          <w:u w:val="single"/>
        </w:rPr>
        <w:t>资质，且同时具有人防工程监理</w:t>
      </w:r>
      <w:r>
        <w:rPr>
          <w:rFonts w:hint="eastAsia" w:ascii="宋体" w:hAnsi="宋体"/>
          <w:color w:val="auto"/>
          <w:szCs w:val="21"/>
          <w:highlight w:val="none"/>
          <w:u w:val="single"/>
          <w:lang w:eastAsia="zh-CN"/>
        </w:rPr>
        <w:t>乙级及以上</w:t>
      </w:r>
      <w:r>
        <w:rPr>
          <w:rFonts w:hint="eastAsia" w:ascii="宋体" w:hAnsi="宋体"/>
          <w:color w:val="auto"/>
          <w:szCs w:val="21"/>
          <w:highlight w:val="none"/>
          <w:u w:val="single"/>
        </w:rPr>
        <w:t>资质的独立法人</w:t>
      </w:r>
      <w:r>
        <w:rPr>
          <w:rFonts w:hint="eastAsia" w:ascii="宋体" w:hAnsi="宋体"/>
          <w:color w:val="auto"/>
          <w:szCs w:val="21"/>
          <w:highlight w:val="none"/>
        </w:rPr>
        <w:t>，</w:t>
      </w:r>
      <w:r>
        <w:rPr>
          <w:rFonts w:hint="eastAsia" w:ascii="宋体" w:hAnsi="宋体"/>
          <w:color w:val="auto"/>
          <w:szCs w:val="21"/>
          <w:highlight w:val="none"/>
        </w:rPr>
        <w:t>并在人员、设备、资金等方面具有相应的监理能力（本工程不接受联合体投标）。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3.2拟派总监应具有</w:t>
      </w:r>
      <w:r>
        <w:rPr>
          <w:rFonts w:hint="eastAsia" w:ascii="宋体" w:hAnsi="宋体"/>
          <w:color w:val="auto"/>
          <w:szCs w:val="21"/>
          <w:highlight w:val="none"/>
          <w:u w:val="single"/>
        </w:rPr>
        <w:t>房屋建筑工程专业的全国注册监理工程师资格</w:t>
      </w:r>
      <w:r>
        <w:rPr>
          <w:rFonts w:hint="eastAsia" w:ascii="宋体" w:hAnsi="宋体"/>
          <w:color w:val="auto"/>
          <w:szCs w:val="21"/>
          <w:highlight w:val="none"/>
        </w:rPr>
        <w:t>且未被</w:t>
      </w:r>
      <w:r>
        <w:rPr>
          <w:rFonts w:hint="eastAsia"/>
          <w:color w:val="auto"/>
          <w:highlight w:val="none"/>
          <w:shd w:val="clear" w:color="auto" w:fill="FFFFFF"/>
        </w:rPr>
        <w:t>浙江省建筑市场监督和诚信信息</w:t>
      </w:r>
      <w:r>
        <w:rPr>
          <w:rFonts w:hint="eastAsia" w:ascii="宋体" w:hAnsi="宋体"/>
          <w:color w:val="auto"/>
          <w:szCs w:val="21"/>
          <w:highlight w:val="none"/>
        </w:rPr>
        <w:t>发布平台锁定（中标后项目总监不得更换），项目总监须为本单位在册人员证明（分别提供社保处出具的</w:t>
      </w:r>
      <w:r>
        <w:rPr>
          <w:rFonts w:hint="eastAsia" w:ascii="宋体" w:hAnsi="宋体"/>
          <w:color w:val="auto"/>
          <w:szCs w:val="21"/>
          <w:highlight w:val="none"/>
          <w:lang w:eastAsia="zh-CN"/>
        </w:rPr>
        <w:t>2021年1月-3月</w:t>
      </w:r>
      <w:r>
        <w:rPr>
          <w:rFonts w:hint="eastAsia" w:ascii="宋体" w:hAnsi="宋体"/>
          <w:color w:val="auto"/>
          <w:szCs w:val="21"/>
          <w:highlight w:val="none"/>
        </w:rPr>
        <w:t>连续3个月养老保险缴纳清单或个人缴纳对账单）。</w:t>
      </w:r>
    </w:p>
    <w:p>
      <w:pPr>
        <w:spacing w:line="400" w:lineRule="exact"/>
        <w:ind w:firstLine="420" w:firstLineChars="200"/>
        <w:rPr>
          <w:rFonts w:ascii="宋体" w:hAnsi="宋体"/>
          <w:color w:val="auto"/>
          <w:szCs w:val="21"/>
          <w:highlight w:val="none"/>
        </w:rPr>
      </w:pPr>
      <w:r>
        <w:rPr>
          <w:rFonts w:hint="eastAsia"/>
          <w:color w:val="auto"/>
          <w:highlight w:val="none"/>
          <w:shd w:val="clear" w:color="auto" w:fill="FFFFFF"/>
        </w:rPr>
        <w:t>拟派</w:t>
      </w:r>
      <w:r>
        <w:rPr>
          <w:rFonts w:hint="eastAsia" w:ascii="宋体" w:hAnsi="宋体"/>
          <w:color w:val="auto"/>
          <w:szCs w:val="21"/>
          <w:highlight w:val="none"/>
        </w:rPr>
        <w:t>总监</w:t>
      </w:r>
      <w:r>
        <w:rPr>
          <w:rFonts w:hint="eastAsia"/>
          <w:color w:val="auto"/>
          <w:highlight w:val="none"/>
          <w:shd w:val="clear" w:color="auto" w:fill="FFFFFF"/>
        </w:rPr>
        <w:t>必须在浙江省建筑市场监督和诚信信息平台办理入库手续</w:t>
      </w:r>
      <w:r>
        <w:rPr>
          <w:rFonts w:ascii="宋体" w:hAnsi="宋体"/>
          <w:color w:val="auto"/>
          <w:szCs w:val="21"/>
          <w:highlight w:val="none"/>
        </w:rPr>
        <w:t>且浙江省建筑市场监督和诚信信息平台中人员证件信息在有效期内</w:t>
      </w:r>
      <w:r>
        <w:rPr>
          <w:rFonts w:hint="eastAsia"/>
          <w:color w:val="auto"/>
          <w:highlight w:val="none"/>
          <w:shd w:val="clear" w:color="auto" w:fill="FFFFFF"/>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3.3潜在投标人在投标时，</w:t>
      </w:r>
      <w:r>
        <w:rPr>
          <w:rFonts w:ascii="宋体" w:hAnsi="宋体"/>
          <w:color w:val="auto"/>
          <w:szCs w:val="21"/>
          <w:highlight w:val="none"/>
        </w:rPr>
        <w:t>企业不在被国家住房和城乡建设部或浙江省住房和城乡建设厅或企业注册所在地的建设行政主管部门或金华市住房和城乡建设局或婺城区住房和城乡建设局公示为不能投标</w:t>
      </w:r>
      <w:r>
        <w:rPr>
          <w:rFonts w:hint="eastAsia" w:ascii="宋体" w:hAnsi="宋体"/>
          <w:color w:val="auto"/>
          <w:szCs w:val="21"/>
          <w:highlight w:val="none"/>
        </w:rPr>
        <w:t>的</w:t>
      </w:r>
      <w:r>
        <w:rPr>
          <w:rFonts w:ascii="宋体" w:hAnsi="宋体"/>
          <w:color w:val="auto"/>
          <w:szCs w:val="21"/>
          <w:highlight w:val="none"/>
        </w:rPr>
        <w:t>限制期限内</w:t>
      </w:r>
      <w:r>
        <w:rPr>
          <w:rFonts w:hint="eastAsia" w:ascii="宋体" w:hAnsi="宋体"/>
          <w:color w:val="auto"/>
          <w:szCs w:val="21"/>
          <w:highlight w:val="none"/>
        </w:rPr>
        <w:t>；</w:t>
      </w:r>
      <w:bookmarkStart w:id="0" w:name="_Toc184635056"/>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3.4潜在投标人在投标时，总监理工程师</w:t>
      </w:r>
      <w:r>
        <w:rPr>
          <w:rFonts w:ascii="宋体" w:hAnsi="宋体"/>
          <w:color w:val="auto"/>
          <w:szCs w:val="21"/>
          <w:highlight w:val="none"/>
        </w:rPr>
        <w:t>无因发生犯罪被判刑在执行期内（包括行贿犯罪判刑）</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3.5潜在投标人在投标时，</w:t>
      </w:r>
      <w:bookmarkEnd w:id="0"/>
      <w:r>
        <w:rPr>
          <w:rFonts w:hint="eastAsia" w:ascii="宋体" w:hAnsi="宋体"/>
          <w:color w:val="auto"/>
          <w:szCs w:val="21"/>
          <w:highlight w:val="none"/>
        </w:rPr>
        <w:t>总监理工程师</w:t>
      </w:r>
      <w:r>
        <w:rPr>
          <w:rFonts w:ascii="宋体" w:hAnsi="宋体"/>
          <w:color w:val="auto"/>
          <w:szCs w:val="21"/>
          <w:highlight w:val="none"/>
        </w:rPr>
        <w:t>不在被国家住房和城乡建设部或浙江省住房和城乡建设厅或企业注册所在地的建设行政主管部门或金华市</w:t>
      </w:r>
      <w:r>
        <w:rPr>
          <w:rFonts w:hint="eastAsia" w:ascii="宋体" w:hAnsi="宋体"/>
          <w:color w:val="auto"/>
          <w:szCs w:val="21"/>
          <w:highlight w:val="none"/>
        </w:rPr>
        <w:t>住房和城乡建设局</w:t>
      </w:r>
      <w:r>
        <w:rPr>
          <w:rFonts w:ascii="宋体" w:hAnsi="宋体"/>
          <w:color w:val="auto"/>
          <w:szCs w:val="21"/>
          <w:highlight w:val="none"/>
        </w:rPr>
        <w:t>或婺城区住房和城乡建设局公示为不能投标的限制期限内</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3.6</w:t>
      </w:r>
      <w:r>
        <w:rPr>
          <w:rFonts w:ascii="宋体" w:hAnsi="宋体"/>
          <w:color w:val="auto"/>
          <w:szCs w:val="21"/>
          <w:highlight w:val="none"/>
        </w:rPr>
        <w:t>潜在投标人在投标时，需提供上述</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3.4</w:t>
      </w:r>
      <w:r>
        <w:rPr>
          <w:rFonts w:ascii="宋体" w:hAnsi="宋体"/>
          <w:color w:val="auto"/>
          <w:szCs w:val="21"/>
          <w:highlight w:val="none"/>
        </w:rPr>
        <w:t>、</w:t>
      </w:r>
      <w:r>
        <w:rPr>
          <w:rFonts w:hint="eastAsia" w:ascii="宋体" w:hAnsi="宋体"/>
          <w:color w:val="auto"/>
          <w:szCs w:val="21"/>
          <w:highlight w:val="none"/>
        </w:rPr>
        <w:t>3.5</w:t>
      </w:r>
      <w:r>
        <w:rPr>
          <w:rFonts w:ascii="宋体" w:hAnsi="宋体"/>
          <w:color w:val="auto"/>
          <w:szCs w:val="21"/>
          <w:highlight w:val="none"/>
        </w:rPr>
        <w:t>要求的承诺书</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bookmarkStart w:id="1" w:name="_Toc258913513"/>
      <w:r>
        <w:rPr>
          <w:rFonts w:hint="eastAsia" w:ascii="宋体" w:hAnsi="宋体"/>
          <w:color w:val="auto"/>
          <w:szCs w:val="21"/>
          <w:highlight w:val="none"/>
        </w:rPr>
        <w:t>3.7投标人须提供自招标公告发布之日起至投标截止时间止期间于“金华市建筑市场监督管理信息系统”中下载的《金华市建筑业企业信息表》（信息表中登记的企业资质类别及等级满足本工程招标要求）。</w:t>
      </w:r>
    </w:p>
    <w:bookmarkEnd w:id="1"/>
    <w:p>
      <w:pPr>
        <w:widowControl/>
        <w:shd w:val="solid" w:color="FFFFFF" w:fill="auto"/>
        <w:spacing w:line="400" w:lineRule="exact"/>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招标文件的获取</w:t>
      </w:r>
      <w:r>
        <w:rPr>
          <w:rFonts w:ascii="宋体" w:hAnsi="宋体"/>
          <w:color w:val="auto"/>
          <w:szCs w:val="21"/>
          <w:highlight w:val="none"/>
        </w:rPr>
        <w:t>：</w:t>
      </w:r>
    </w:p>
    <w:p>
      <w:pPr>
        <w:spacing w:line="400" w:lineRule="exact"/>
        <w:ind w:firstLine="420" w:firstLineChars="200"/>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4.1凡有意参加投标者，请于</w:t>
      </w: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  月  日</w:t>
      </w:r>
      <w:r>
        <w:rPr>
          <w:rStyle w:val="32"/>
          <w:rFonts w:hint="eastAsia"/>
          <w:color w:val="auto"/>
          <w:szCs w:val="21"/>
          <w:highlight w:val="none"/>
        </w:rPr>
        <w:t>至</w:t>
      </w: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  月  日9时30分</w:t>
      </w:r>
      <w:r>
        <w:rPr>
          <w:rFonts w:hint="eastAsia" w:ascii="宋体" w:hAnsi="宋体" w:cs="宋体"/>
          <w:color w:val="auto"/>
          <w:kern w:val="0"/>
          <w:szCs w:val="21"/>
          <w:highlight w:val="none"/>
          <w:shd w:val="clear" w:color="auto" w:fill="FFFFFF"/>
        </w:rPr>
        <w:t>前在金华市公共资源交易中心婺城区分中心网上下载招标文件及相关资料；</w:t>
      </w:r>
    </w:p>
    <w:p>
      <w:pPr>
        <w:widowControl/>
        <w:shd w:val="solid" w:color="FFFFFF" w:fill="auto"/>
        <w:spacing w:line="400" w:lineRule="exact"/>
        <w:ind w:firstLine="420" w:firstLineChars="200"/>
        <w:jc w:val="left"/>
        <w:rPr>
          <w:rFonts w:ascii="宋体" w:hAnsi="宋体" w:cs="宋体"/>
          <w:color w:val="auto"/>
          <w:kern w:val="0"/>
          <w:highlight w:val="none"/>
          <w:shd w:val="clear" w:color="auto" w:fill="FFFFFF"/>
        </w:rPr>
      </w:pPr>
      <w:r>
        <w:rPr>
          <w:rFonts w:hint="eastAsia" w:ascii="宋体" w:hAnsi="宋体" w:cs="宋体"/>
          <w:color w:val="auto"/>
          <w:kern w:val="0"/>
          <w:szCs w:val="21"/>
          <w:highlight w:val="none"/>
          <w:shd w:val="clear" w:color="auto" w:fill="FFFFFF"/>
        </w:rPr>
        <w:t>4.2</w:t>
      </w:r>
      <w:r>
        <w:rPr>
          <w:rFonts w:hint="eastAsia" w:ascii="宋体" w:hAnsi="宋体" w:cs="宋体"/>
          <w:color w:val="auto"/>
          <w:kern w:val="0"/>
          <w:highlight w:val="none"/>
          <w:shd w:val="clear" w:color="auto" w:fill="FFFFFF"/>
        </w:rPr>
        <w:t>招标文件每套</w:t>
      </w:r>
      <w:r>
        <w:rPr>
          <w:rFonts w:hint="eastAsia" w:ascii="宋体" w:hAnsi="宋体" w:cs="宋体"/>
          <w:color w:val="auto"/>
          <w:kern w:val="0"/>
          <w:highlight w:val="none"/>
          <w:shd w:val="clear" w:color="auto" w:fill="FFFFFF"/>
        </w:rPr>
        <w:t>售价</w:t>
      </w:r>
      <w:r>
        <w:rPr>
          <w:rFonts w:hint="eastAsia" w:ascii="宋体" w:hAnsi="宋体" w:cs="宋体"/>
          <w:color w:val="auto"/>
          <w:kern w:val="0"/>
          <w:highlight w:val="none"/>
          <w:shd w:val="clear" w:color="auto" w:fill="FFFFFF"/>
          <w:lang w:val="en-US" w:eastAsia="zh-CN"/>
        </w:rPr>
        <w:t>30</w:t>
      </w:r>
      <w:r>
        <w:rPr>
          <w:rFonts w:hint="eastAsia" w:ascii="宋体" w:hAnsi="宋体" w:cs="宋体"/>
          <w:color w:val="auto"/>
          <w:kern w:val="0"/>
          <w:highlight w:val="none"/>
          <w:shd w:val="clear" w:color="auto" w:fill="FFFFFF"/>
        </w:rPr>
        <w:t>0元（开标</w:t>
      </w:r>
      <w:r>
        <w:rPr>
          <w:rFonts w:hint="eastAsia" w:ascii="宋体" w:hAnsi="宋体" w:cs="宋体"/>
          <w:color w:val="auto"/>
          <w:kern w:val="0"/>
          <w:highlight w:val="none"/>
          <w:shd w:val="clear" w:color="auto" w:fill="FFFFFF"/>
        </w:rPr>
        <w:t>前向招标代理支付，推荐以支付宝的形式支付，</w:t>
      </w:r>
      <w:r>
        <w:rPr>
          <w:rFonts w:hint="eastAsia" w:ascii="宋体" w:hAnsi="宋体" w:cs="宋体"/>
          <w:color w:val="auto"/>
          <w:kern w:val="0"/>
          <w:highlight w:val="none"/>
          <w:shd w:val="clear" w:color="auto" w:fill="FFFFFF"/>
          <w:lang w:eastAsia="zh-CN"/>
        </w:rPr>
        <w:t>支付宝账号（章紫昕）15757949723</w:t>
      </w:r>
      <w:r>
        <w:rPr>
          <w:rFonts w:hint="eastAsia" w:ascii="宋体" w:hAnsi="宋体" w:cs="宋体"/>
          <w:color w:val="auto"/>
          <w:kern w:val="0"/>
          <w:highlight w:val="none"/>
          <w:shd w:val="clear" w:color="auto" w:fill="FFFFFF"/>
          <w:lang w:val="en-US" w:eastAsia="zh-CN"/>
        </w:rPr>
        <w:t>，</w:t>
      </w:r>
      <w:r>
        <w:rPr>
          <w:rFonts w:hint="eastAsia" w:ascii="宋体" w:hAnsi="宋体" w:cs="宋体"/>
          <w:color w:val="auto"/>
          <w:kern w:val="0"/>
          <w:highlight w:val="none"/>
          <w:shd w:val="clear" w:color="auto" w:fill="FFFFFF"/>
        </w:rPr>
        <w:t>并注明单位和项目名称</w:t>
      </w:r>
      <w:r>
        <w:rPr>
          <w:rFonts w:hint="eastAsia" w:ascii="宋体" w:hAnsi="宋体" w:cs="宋体"/>
          <w:color w:val="auto"/>
          <w:kern w:val="0"/>
          <w:highlight w:val="none"/>
          <w:shd w:val="clear" w:color="auto" w:fill="FFFFFF"/>
          <w:lang w:eastAsia="zh-CN"/>
        </w:rPr>
        <w:t>简写</w:t>
      </w:r>
      <w:r>
        <w:rPr>
          <w:rFonts w:hint="eastAsia" w:ascii="宋体" w:hAnsi="宋体" w:cs="宋体"/>
          <w:color w:val="auto"/>
          <w:kern w:val="0"/>
          <w:highlight w:val="none"/>
          <w:shd w:val="clear" w:color="auto" w:fill="FFFFFF"/>
        </w:rPr>
        <w:t>）</w:t>
      </w:r>
      <w:r>
        <w:rPr>
          <w:rFonts w:hint="eastAsia" w:ascii="宋体" w:hAnsi="宋体" w:cs="宋体"/>
          <w:color w:val="auto"/>
          <w:kern w:val="0"/>
          <w:szCs w:val="21"/>
          <w:highlight w:val="none"/>
          <w:shd w:val="clear" w:color="auto" w:fill="FFFFFF"/>
        </w:rPr>
        <w:t>。</w:t>
      </w:r>
    </w:p>
    <w:p>
      <w:pPr>
        <w:widowControl/>
        <w:shd w:val="solid" w:color="FFFFFF" w:fill="auto"/>
        <w:spacing w:line="400" w:lineRule="exact"/>
        <w:jc w:val="left"/>
        <w:rPr>
          <w:rFonts w:ascii="宋体" w:hAnsi="宋体"/>
          <w:color w:val="auto"/>
          <w:szCs w:val="21"/>
          <w:highlight w:val="none"/>
        </w:rPr>
      </w:pPr>
      <w:bookmarkStart w:id="2" w:name="_Toc405807881"/>
      <w:r>
        <w:rPr>
          <w:rFonts w:hint="eastAsia" w:ascii="宋体" w:hAnsi="宋体"/>
          <w:color w:val="auto"/>
          <w:szCs w:val="21"/>
          <w:highlight w:val="none"/>
        </w:rPr>
        <w:t>5．投标文件的递交：</w:t>
      </w:r>
      <w:bookmarkEnd w:id="2"/>
    </w:p>
    <w:p>
      <w:pPr>
        <w:spacing w:line="40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shd w:val="clear" w:color="auto" w:fill="FFFFFF"/>
        </w:rPr>
        <w:t>5.1投标文件递交的截止时间为</w:t>
      </w: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  月  日9时30分</w:t>
      </w:r>
      <w:r>
        <w:rPr>
          <w:rFonts w:hint="eastAsia" w:ascii="宋体" w:hAnsi="宋体" w:cs="宋体"/>
          <w:color w:val="auto"/>
          <w:kern w:val="0"/>
          <w:szCs w:val="21"/>
          <w:highlight w:val="none"/>
          <w:shd w:val="clear" w:color="auto" w:fill="FFFFFF"/>
        </w:rPr>
        <w:t>，地点为金华市公共资源交易中心婺城区分中心（婺城区紫金南街369号瑞唐国际附楼3楼开标室），递交方式可为邮寄或当面递交，</w:t>
      </w:r>
      <w:r>
        <w:rPr>
          <w:rFonts w:hint="eastAsia" w:ascii="宋体" w:hAnsi="宋体"/>
          <w:color w:val="auto"/>
          <w:szCs w:val="21"/>
          <w:highlight w:val="none"/>
        </w:rPr>
        <w:t>投标人代表在递交投标文件后离开开标现场；</w:t>
      </w:r>
    </w:p>
    <w:p>
      <w:pPr>
        <w:spacing w:line="40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shd w:val="clear" w:color="auto" w:fill="FFFFFF"/>
        </w:rPr>
        <w:t>5.2</w:t>
      </w:r>
      <w:r>
        <w:rPr>
          <w:rFonts w:hint="eastAsia" w:ascii="宋体" w:hAnsi="宋体"/>
          <w:color w:val="auto"/>
          <w:szCs w:val="21"/>
          <w:highlight w:val="none"/>
        </w:rPr>
        <w:t xml:space="preserve"> 邮寄方式：收件地址为金华市公共资源交易中心婺城区分中心（婺城区紫金南街369号瑞唐国际附楼3楼开标室）、收件人为</w:t>
      </w:r>
      <w:r>
        <w:rPr>
          <w:rFonts w:ascii="宋体" w:hAnsi="宋体"/>
          <w:color w:val="auto"/>
          <w:szCs w:val="21"/>
          <w:highlight w:val="none"/>
        </w:rPr>
        <w:t>金华市婺城区城乡建设投资集团有限公司</w:t>
      </w:r>
      <w:r>
        <w:rPr>
          <w:rFonts w:hint="eastAsia" w:ascii="宋体" w:hAnsi="宋体"/>
          <w:color w:val="auto"/>
          <w:szCs w:val="21"/>
          <w:highlight w:val="none"/>
        </w:rPr>
        <w:t>、联系人为</w:t>
      </w:r>
      <w:r>
        <w:rPr>
          <w:rFonts w:hint="eastAsia" w:ascii="宋体" w:hAnsi="宋体"/>
          <w:color w:val="auto"/>
          <w:szCs w:val="21"/>
          <w:highlight w:val="none"/>
          <w:lang w:val="en-US" w:eastAsia="zh-CN"/>
        </w:rPr>
        <w:t>方女士</w:t>
      </w:r>
      <w:r>
        <w:rPr>
          <w:rFonts w:hint="eastAsia" w:ascii="宋体" w:hAnsi="宋体"/>
          <w:color w:val="auto"/>
          <w:szCs w:val="21"/>
          <w:highlight w:val="none"/>
        </w:rPr>
        <w:t>、联系号码为</w:t>
      </w:r>
      <w:r>
        <w:rPr>
          <w:rFonts w:hint="eastAsia" w:ascii="宋体" w:hAnsi="宋体"/>
          <w:color w:val="auto"/>
          <w:szCs w:val="21"/>
          <w:highlight w:val="none"/>
          <w:lang w:val="en-US" w:eastAsia="zh-CN"/>
        </w:rPr>
        <w:t xml:space="preserve"> 0579-89108685 </w:t>
      </w:r>
      <w:r>
        <w:rPr>
          <w:rFonts w:hint="eastAsia" w:ascii="宋体" w:hAnsi="宋体"/>
          <w:color w:val="auto"/>
          <w:szCs w:val="21"/>
          <w:highlight w:val="none"/>
        </w:rPr>
        <w:t xml:space="preserve">，投标人无需派代表前往开标现场（采用邮寄方式的，须写明寄件人姓名、钉钉号及保持畅通的联系方式，投标文件送达时间以收件人签收时间为准，因快递物流延误或因运输过程中产生的封装破损问题由投标人自行负责）。 </w:t>
      </w:r>
    </w:p>
    <w:p>
      <w:pPr>
        <w:widowControl/>
        <w:shd w:val="solid" w:color="FFFFFF" w:fill="auto"/>
        <w:spacing w:line="360" w:lineRule="exact"/>
        <w:ind w:firstLine="420"/>
        <w:jc w:val="left"/>
        <w:rPr>
          <w:rFonts w:ascii="宋体" w:hAnsi="宋体" w:cs="宋体"/>
          <w:color w:val="auto"/>
          <w:kern w:val="0"/>
          <w:highlight w:val="none"/>
          <w:shd w:val="clear" w:color="auto" w:fill="FFFFFF"/>
        </w:rPr>
      </w:pPr>
      <w:r>
        <w:rPr>
          <w:rFonts w:hint="eastAsia" w:ascii="宋体" w:hAnsi="宋体" w:cs="宋体"/>
          <w:color w:val="auto"/>
          <w:kern w:val="0"/>
          <w:highlight w:val="none"/>
          <w:shd w:val="clear" w:color="auto" w:fill="FFFFFF"/>
        </w:rPr>
        <w:t>5.3逾期送达的或者未送达指定地点的投标文件，招标人不予受理。</w:t>
      </w:r>
    </w:p>
    <w:p>
      <w:pPr>
        <w:pStyle w:val="6"/>
        <w:spacing w:line="400" w:lineRule="exact"/>
        <w:rPr>
          <w:color w:val="auto"/>
          <w:sz w:val="21"/>
          <w:szCs w:val="21"/>
          <w:highlight w:val="none"/>
        </w:rPr>
      </w:pPr>
      <w:bookmarkStart w:id="3" w:name="_Toc405807882"/>
      <w:r>
        <w:rPr>
          <w:rFonts w:hint="eastAsia"/>
          <w:color w:val="auto"/>
          <w:sz w:val="21"/>
          <w:szCs w:val="21"/>
          <w:highlight w:val="none"/>
        </w:rPr>
        <w:t>6．发布公告的媒介：</w:t>
      </w:r>
      <w:bookmarkEnd w:id="3"/>
    </w:p>
    <w:p>
      <w:pPr>
        <w:spacing w:line="400" w:lineRule="exact"/>
        <w:ind w:firstLine="316" w:firstLineChars="150"/>
        <w:rPr>
          <w:rFonts w:ascii="宋体" w:hAnsi="宋体"/>
          <w:color w:val="auto"/>
          <w:szCs w:val="21"/>
          <w:highlight w:val="none"/>
        </w:rPr>
      </w:pPr>
      <w:r>
        <w:rPr>
          <w:rFonts w:hint="eastAsia" w:ascii="宋体" w:hAnsi="宋体" w:cs="宋体"/>
          <w:b/>
          <w:color w:val="auto"/>
          <w:kern w:val="0"/>
          <w:szCs w:val="21"/>
          <w:highlight w:val="none"/>
        </w:rPr>
        <w:t>6.1</w:t>
      </w:r>
      <w:r>
        <w:rPr>
          <w:rFonts w:hint="eastAsia"/>
          <w:color w:val="auto"/>
          <w:szCs w:val="21"/>
          <w:highlight w:val="none"/>
        </w:rPr>
        <w:t>本次招标公告在金华市婺城区公共资源交易网（网址</w:t>
      </w:r>
      <w:r>
        <w:rPr>
          <w:color w:val="auto"/>
          <w:highlight w:val="none"/>
        </w:rPr>
        <w:t xml:space="preserve">http://www.wcqggzy.com </w:t>
      </w:r>
      <w:r>
        <w:rPr>
          <w:rFonts w:hint="eastAsia"/>
          <w:color w:val="auto"/>
          <w:szCs w:val="21"/>
          <w:highlight w:val="none"/>
        </w:rPr>
        <w:t>）上发布</w:t>
      </w:r>
      <w:r>
        <w:rPr>
          <w:rFonts w:ascii="宋体" w:hAnsi="宋体"/>
          <w:color w:val="auto"/>
          <w:szCs w:val="21"/>
          <w:highlight w:val="none"/>
        </w:rPr>
        <w:t>。</w:t>
      </w:r>
    </w:p>
    <w:p>
      <w:pPr>
        <w:spacing w:line="400" w:lineRule="exact"/>
        <w:ind w:firstLine="316" w:firstLineChars="150"/>
        <w:rPr>
          <w:rFonts w:ascii="宋体" w:hAnsi="宋体" w:cs="宋体"/>
          <w:b/>
          <w:color w:val="auto"/>
          <w:kern w:val="0"/>
          <w:szCs w:val="21"/>
          <w:highlight w:val="none"/>
        </w:rPr>
      </w:pPr>
      <w:r>
        <w:rPr>
          <w:rFonts w:hint="eastAsia" w:ascii="宋体" w:hAnsi="宋体" w:cs="宋体"/>
          <w:b/>
          <w:color w:val="auto"/>
          <w:kern w:val="0"/>
          <w:szCs w:val="21"/>
          <w:highlight w:val="none"/>
        </w:rPr>
        <w:t>6.2金华市公共资源交易中心婺城区分中心         电话：0579-82487077</w:t>
      </w:r>
    </w:p>
    <w:p>
      <w:pPr>
        <w:spacing w:line="400" w:lineRule="exact"/>
        <w:rPr>
          <w:rFonts w:ascii="宋体" w:hAnsi="宋体" w:cs="宋体"/>
          <w:b/>
          <w:color w:val="auto"/>
          <w:kern w:val="0"/>
          <w:szCs w:val="21"/>
          <w:highlight w:val="none"/>
        </w:rPr>
      </w:pPr>
      <w:r>
        <w:rPr>
          <w:rFonts w:hint="eastAsia" w:ascii="宋体" w:hAnsi="宋体" w:cs="宋体"/>
          <w:b/>
          <w:color w:val="auto"/>
          <w:kern w:val="0"/>
          <w:szCs w:val="21"/>
          <w:highlight w:val="none"/>
        </w:rPr>
        <w:t>7、行政监督部门：</w:t>
      </w:r>
      <w:r>
        <w:rPr>
          <w:rFonts w:ascii="宋体" w:hAnsi="宋体" w:cs="宋体"/>
          <w:b/>
          <w:color w:val="auto"/>
          <w:kern w:val="0"/>
          <w:szCs w:val="21"/>
          <w:highlight w:val="none"/>
        </w:rPr>
        <w:t>金华市婺城区住房和城乡建设局</w:t>
      </w:r>
      <w:r>
        <w:rPr>
          <w:rFonts w:hint="eastAsia" w:ascii="宋体" w:hAnsi="宋体" w:cs="宋体"/>
          <w:b/>
          <w:color w:val="auto"/>
          <w:kern w:val="0"/>
          <w:szCs w:val="21"/>
          <w:highlight w:val="none"/>
        </w:rPr>
        <w:t xml:space="preserve">     电话：0579-82487110</w:t>
      </w:r>
    </w:p>
    <w:p>
      <w:pPr>
        <w:pStyle w:val="6"/>
        <w:spacing w:line="400" w:lineRule="exact"/>
        <w:rPr>
          <w:b w:val="0"/>
          <w:color w:val="auto"/>
          <w:szCs w:val="21"/>
          <w:highlight w:val="none"/>
        </w:rPr>
      </w:pPr>
      <w:r>
        <w:rPr>
          <w:rFonts w:hint="eastAsia"/>
          <w:color w:val="auto"/>
          <w:sz w:val="21"/>
          <w:szCs w:val="21"/>
          <w:highlight w:val="none"/>
        </w:rPr>
        <w:t>8、联系方式：</w:t>
      </w:r>
    </w:p>
    <w:p>
      <w:pPr>
        <w:widowControl/>
        <w:shd w:val="solid" w:color="FFFFFF" w:fill="auto"/>
        <w:spacing w:line="400" w:lineRule="exact"/>
        <w:jc w:val="left"/>
        <w:rPr>
          <w:rFonts w:hint="eastAsia" w:ascii="宋体" w:hAnsi="宋体" w:eastAsia="宋体"/>
          <w:color w:val="auto"/>
          <w:szCs w:val="21"/>
          <w:highlight w:val="none"/>
          <w:lang w:eastAsia="zh-CN"/>
        </w:rPr>
      </w:pPr>
      <w:r>
        <w:rPr>
          <w:rFonts w:hint="eastAsia" w:ascii="宋体" w:hAnsi="宋体"/>
          <w:color w:val="auto"/>
          <w:szCs w:val="21"/>
          <w:highlight w:val="none"/>
        </w:rPr>
        <w:t>招标人：金华市婺城区城乡建设投资集团有限公司       代理机构：</w:t>
      </w:r>
      <w:r>
        <w:rPr>
          <w:rFonts w:hint="eastAsia" w:ascii="宋体" w:hAnsi="宋体"/>
          <w:color w:val="auto"/>
          <w:szCs w:val="21"/>
          <w:highlight w:val="none"/>
          <w:lang w:eastAsia="zh-CN"/>
        </w:rPr>
        <w:t>浙江安泰工程咨询有限公司</w:t>
      </w:r>
    </w:p>
    <w:p>
      <w:pPr>
        <w:widowControl/>
        <w:spacing w:line="500" w:lineRule="exact"/>
        <w:contextualSpacing/>
        <w:jc w:val="left"/>
        <w:rPr>
          <w:rFonts w:hint="eastAsia" w:ascii="宋体" w:hAnsi="宋体" w:eastAsia="宋体"/>
          <w:color w:val="auto"/>
          <w:szCs w:val="21"/>
          <w:highlight w:val="none"/>
          <w:lang w:eastAsia="zh-CN"/>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址：金华市婺城区临江东路1100号合丰外包        地址：</w:t>
      </w:r>
      <w:r>
        <w:rPr>
          <w:rFonts w:hint="eastAsia" w:ascii="宋体" w:hAnsi="宋体"/>
          <w:color w:val="auto"/>
          <w:szCs w:val="21"/>
          <w:highlight w:val="none"/>
          <w:lang w:eastAsia="zh-CN"/>
        </w:rPr>
        <w:t>金华市双龙南街1018号新融大厦9楼</w:t>
      </w:r>
    </w:p>
    <w:p>
      <w:pPr>
        <w:widowControl/>
        <w:spacing w:line="500" w:lineRule="exact"/>
        <w:contextualSpacing/>
        <w:jc w:val="left"/>
        <w:rPr>
          <w:rFonts w:ascii="宋体" w:hAnsi="宋体"/>
          <w:color w:val="auto"/>
          <w:szCs w:val="21"/>
          <w:highlight w:val="none"/>
        </w:rPr>
      </w:pPr>
      <w:r>
        <w:rPr>
          <w:rFonts w:hint="eastAsia" w:ascii="宋体" w:hAnsi="宋体"/>
          <w:color w:val="auto"/>
          <w:szCs w:val="21"/>
          <w:highlight w:val="none"/>
        </w:rPr>
        <w:t>服务产业园2#商务大楼9楼</w:t>
      </w:r>
    </w:p>
    <w:p>
      <w:pPr>
        <w:widowControl/>
        <w:spacing w:line="500" w:lineRule="exact"/>
        <w:contextualSpacing/>
        <w:jc w:val="lef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val="en-US" w:eastAsia="zh-CN"/>
        </w:rPr>
        <w:t xml:space="preserve"> 方女士 </w:t>
      </w:r>
      <w:r>
        <w:rPr>
          <w:rFonts w:hint="eastAsia" w:ascii="宋体" w:hAnsi="宋体"/>
          <w:color w:val="auto"/>
          <w:szCs w:val="21"/>
          <w:highlight w:val="none"/>
        </w:rPr>
        <w:t xml:space="preserve">                                   联 系人：</w:t>
      </w:r>
      <w:r>
        <w:rPr>
          <w:rFonts w:hint="eastAsia" w:ascii="宋体" w:hAnsi="宋体"/>
          <w:color w:val="auto"/>
          <w:szCs w:val="21"/>
          <w:highlight w:val="none"/>
          <w:lang w:eastAsia="zh-CN"/>
        </w:rPr>
        <w:t>方</w:t>
      </w:r>
      <w:r>
        <w:rPr>
          <w:rFonts w:hint="eastAsia" w:ascii="宋体" w:hAnsi="宋体"/>
          <w:color w:val="auto"/>
          <w:szCs w:val="21"/>
          <w:highlight w:val="none"/>
        </w:rPr>
        <w:t>先生</w:t>
      </w:r>
    </w:p>
    <w:p>
      <w:pPr>
        <w:widowControl/>
        <w:spacing w:line="500" w:lineRule="exact"/>
        <w:contextualSpacing/>
        <w:jc w:val="left"/>
        <w:rPr>
          <w:rFonts w:hint="eastAsia" w:ascii="宋体" w:hAnsi="宋体" w:eastAsia="宋体"/>
          <w:color w:val="auto"/>
          <w:szCs w:val="21"/>
          <w:highlight w:val="none"/>
          <w:lang w:eastAsia="zh-CN"/>
        </w:rPr>
      </w:pPr>
      <w:r>
        <w:rPr>
          <w:rFonts w:hint="eastAsia" w:ascii="宋体" w:hAnsi="宋体"/>
          <w:color w:val="auto"/>
          <w:szCs w:val="21"/>
          <w:highlight w:val="none"/>
        </w:rPr>
        <w:t>电  话：</w:t>
      </w:r>
      <w:r>
        <w:rPr>
          <w:rFonts w:hint="eastAsia" w:ascii="宋体" w:hAnsi="宋体"/>
          <w:color w:val="auto"/>
          <w:szCs w:val="21"/>
          <w:highlight w:val="none"/>
          <w:lang w:val="en-US" w:eastAsia="zh-CN"/>
        </w:rPr>
        <w:t xml:space="preserve"> 0579-89108685   </w:t>
      </w:r>
      <w:r>
        <w:rPr>
          <w:rFonts w:hint="eastAsia" w:ascii="宋体" w:hAnsi="宋体"/>
          <w:color w:val="auto"/>
          <w:szCs w:val="21"/>
          <w:highlight w:val="none"/>
        </w:rPr>
        <w:t xml:space="preserve">                          联系电话：</w:t>
      </w:r>
      <w:r>
        <w:rPr>
          <w:rFonts w:hint="eastAsia" w:ascii="宋体" w:hAnsi="宋体"/>
          <w:color w:val="auto"/>
          <w:szCs w:val="21"/>
          <w:highlight w:val="none"/>
          <w:lang w:eastAsia="zh-CN"/>
        </w:rPr>
        <w:t>0579-82335208、18358930524</w:t>
      </w: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s="宋体"/>
          <w:color w:val="auto"/>
          <w:kern w:val="0"/>
          <w:szCs w:val="21"/>
          <w:highlight w:val="none"/>
          <w:shd w:val="clear" w:color="auto" w:fill="FFFFFF"/>
        </w:rPr>
      </w:pPr>
    </w:p>
    <w:p>
      <w:pPr>
        <w:spacing w:line="400" w:lineRule="exact"/>
        <w:ind w:firstLine="420" w:firstLineChars="200"/>
        <w:rPr>
          <w:rFonts w:ascii="宋体" w:hAnsi="宋体" w:cs="宋体"/>
          <w:color w:val="auto"/>
          <w:kern w:val="0"/>
          <w:szCs w:val="21"/>
          <w:highlight w:val="none"/>
          <w:shd w:val="clear" w:color="auto" w:fill="FFFFFF"/>
        </w:rPr>
      </w:pPr>
    </w:p>
    <w:p>
      <w:pPr>
        <w:widowControl/>
        <w:spacing w:line="400" w:lineRule="exact"/>
        <w:jc w:val="left"/>
        <w:rPr>
          <w:rFonts w:ascii="宋体" w:hAnsi="宋体"/>
          <w:color w:val="auto"/>
          <w:szCs w:val="21"/>
          <w:highlight w:val="none"/>
        </w:rPr>
      </w:pPr>
      <w:r>
        <w:rPr>
          <w:rFonts w:ascii="宋体" w:hAnsi="宋体"/>
          <w:color w:val="auto"/>
          <w:szCs w:val="21"/>
          <w:highlight w:val="none"/>
        </w:rPr>
        <w:t>扫黑除恶举报：</w:t>
      </w:r>
    </w:p>
    <w:p>
      <w:pPr>
        <w:widowControl/>
        <w:spacing w:line="400" w:lineRule="exact"/>
        <w:jc w:val="left"/>
        <w:rPr>
          <w:rFonts w:ascii="宋体" w:hAnsi="宋体"/>
          <w:color w:val="auto"/>
          <w:szCs w:val="21"/>
          <w:highlight w:val="none"/>
        </w:rPr>
      </w:pPr>
      <w:r>
        <w:rPr>
          <w:rFonts w:ascii="宋体" w:hAnsi="宋体"/>
          <w:color w:val="auto"/>
          <w:szCs w:val="21"/>
          <w:highlight w:val="none"/>
        </w:rPr>
        <w:t>如有发现以下涉黑涉恶情况的可向当地主管部门进行举报：</w:t>
      </w:r>
    </w:p>
    <w:p>
      <w:pPr>
        <w:widowControl/>
        <w:spacing w:line="400" w:lineRule="exact"/>
        <w:jc w:val="left"/>
        <w:rPr>
          <w:rFonts w:ascii="宋体" w:hAnsi="宋体"/>
          <w:color w:val="auto"/>
          <w:szCs w:val="21"/>
          <w:highlight w:val="none"/>
        </w:rPr>
      </w:pPr>
      <w:r>
        <w:rPr>
          <w:rFonts w:ascii="宋体" w:hAnsi="宋体"/>
          <w:color w:val="auto"/>
          <w:szCs w:val="21"/>
          <w:highlight w:val="none"/>
        </w:rPr>
        <w:t>1、施寻衅滋事、故意伤害、殴打等暴力手段或言语威胁、谈判协商、阻扰施工等软暴力手段，强包强揽土石方、附属设施等工程，强买强卖、垄断砂、石、水泥、商品砼等建材，强装强卸、强迫他人供货或接受服务。</w:t>
      </w:r>
    </w:p>
    <w:p>
      <w:pPr>
        <w:widowControl/>
        <w:spacing w:line="400" w:lineRule="exact"/>
        <w:jc w:val="left"/>
        <w:rPr>
          <w:rFonts w:ascii="宋体" w:hAnsi="宋体"/>
          <w:color w:val="auto"/>
          <w:szCs w:val="21"/>
          <w:highlight w:val="none"/>
        </w:rPr>
      </w:pPr>
      <w:r>
        <w:rPr>
          <w:rFonts w:ascii="宋体" w:hAnsi="宋体"/>
          <w:color w:val="auto"/>
          <w:szCs w:val="21"/>
          <w:highlight w:val="none"/>
        </w:rPr>
        <w:t>2、以强制、威胁等手段扣押建造师等各类注册证书并限制相关人员流动。</w:t>
      </w:r>
    </w:p>
    <w:p>
      <w:pPr>
        <w:widowControl/>
        <w:spacing w:line="400" w:lineRule="exact"/>
        <w:jc w:val="left"/>
        <w:rPr>
          <w:rFonts w:ascii="宋体" w:hAnsi="宋体"/>
          <w:color w:val="auto"/>
          <w:szCs w:val="21"/>
          <w:highlight w:val="none"/>
        </w:rPr>
      </w:pPr>
      <w:r>
        <w:rPr>
          <w:rFonts w:ascii="宋体" w:hAnsi="宋体"/>
          <w:color w:val="auto"/>
          <w:szCs w:val="21"/>
          <w:highlight w:val="none"/>
        </w:rPr>
        <w:t>3、在工程项目建设过程中组织煽动闹事、封门堵路、断水断电、殴打施工人员等扰乱建筑市场秩序、阻扰正常施工。</w:t>
      </w:r>
    </w:p>
    <w:p>
      <w:pPr>
        <w:widowControl/>
        <w:spacing w:line="400" w:lineRule="exact"/>
        <w:jc w:val="left"/>
        <w:rPr>
          <w:rFonts w:ascii="宋体" w:hAnsi="宋体"/>
          <w:color w:val="auto"/>
          <w:szCs w:val="21"/>
          <w:highlight w:val="none"/>
        </w:rPr>
      </w:pPr>
      <w:r>
        <w:rPr>
          <w:rFonts w:ascii="宋体" w:hAnsi="宋体"/>
          <w:color w:val="auto"/>
          <w:szCs w:val="21"/>
          <w:highlight w:val="none"/>
        </w:rPr>
        <w:t>4、在项目建设中强行收取“</w:t>
      </w:r>
      <w:r>
        <w:rPr>
          <w:rFonts w:hint="eastAsia" w:ascii="宋体" w:hAnsi="宋体"/>
          <w:color w:val="auto"/>
          <w:szCs w:val="21"/>
          <w:highlight w:val="none"/>
        </w:rPr>
        <w:t>地盘</w:t>
      </w:r>
      <w:r>
        <w:rPr>
          <w:rFonts w:ascii="宋体" w:hAnsi="宋体"/>
          <w:color w:val="auto"/>
          <w:szCs w:val="21"/>
          <w:highlight w:val="none"/>
        </w:rPr>
        <w:t>费”、“管理费”、“保护费”等，实施敲诈勒索。</w:t>
      </w:r>
    </w:p>
    <w:p>
      <w:pPr>
        <w:widowControl/>
        <w:spacing w:line="400" w:lineRule="exact"/>
        <w:jc w:val="left"/>
        <w:rPr>
          <w:rFonts w:ascii="宋体" w:hAnsi="宋体"/>
          <w:color w:val="auto"/>
          <w:szCs w:val="21"/>
          <w:highlight w:val="none"/>
        </w:rPr>
      </w:pPr>
      <w:r>
        <w:rPr>
          <w:rFonts w:ascii="宋体" w:hAnsi="宋体"/>
          <w:color w:val="auto"/>
          <w:szCs w:val="21"/>
          <w:highlight w:val="none"/>
        </w:rPr>
        <w:t>5、虚假招投标、恶意竞标、恶意围标串标以及暴力、威胁、利诱等手段阻止其他投标人参与投标或者控制其他投标人投标。</w:t>
      </w:r>
    </w:p>
    <w:p>
      <w:pPr>
        <w:widowControl/>
        <w:spacing w:line="400" w:lineRule="exact"/>
        <w:jc w:val="left"/>
        <w:rPr>
          <w:rFonts w:ascii="宋体" w:hAnsi="宋体"/>
          <w:color w:val="auto"/>
          <w:szCs w:val="21"/>
          <w:highlight w:val="none"/>
        </w:rPr>
      </w:pPr>
      <w:r>
        <w:rPr>
          <w:rFonts w:ascii="宋体" w:hAnsi="宋体"/>
          <w:color w:val="auto"/>
          <w:szCs w:val="21"/>
          <w:highlight w:val="none"/>
        </w:rPr>
        <w:t>6、在工程款结算和农民工工资支付中，以威胁、恐吓等暴力手段恶意拖欠、随意</w:t>
      </w:r>
      <w:r>
        <w:rPr>
          <w:rFonts w:hint="eastAsia" w:ascii="宋体" w:hAnsi="宋体"/>
          <w:color w:val="auto"/>
          <w:szCs w:val="21"/>
          <w:highlight w:val="none"/>
        </w:rPr>
        <w:t>克扣</w:t>
      </w:r>
      <w:r>
        <w:rPr>
          <w:rFonts w:ascii="宋体" w:hAnsi="宋体"/>
          <w:color w:val="auto"/>
          <w:szCs w:val="21"/>
          <w:highlight w:val="none"/>
        </w:rPr>
        <w:t>、有组织的暴力讨薪、聚众滋事、以讨要工资为名组织策划群体上访等。</w:t>
      </w:r>
    </w:p>
    <w:p>
      <w:pPr>
        <w:widowControl/>
        <w:spacing w:line="400" w:lineRule="exact"/>
        <w:jc w:val="left"/>
        <w:rPr>
          <w:rFonts w:ascii="宋体" w:hAnsi="宋体"/>
          <w:color w:val="auto"/>
          <w:szCs w:val="21"/>
          <w:highlight w:val="none"/>
        </w:rPr>
      </w:pPr>
      <w:r>
        <w:rPr>
          <w:rFonts w:ascii="宋体" w:hAnsi="宋体"/>
          <w:color w:val="auto"/>
          <w:szCs w:val="21"/>
          <w:highlight w:val="none"/>
        </w:rPr>
        <w:t>7、其他涉黑涉恶情况。</w:t>
      </w:r>
    </w:p>
    <w:p>
      <w:pPr>
        <w:widowControl/>
        <w:spacing w:line="400" w:lineRule="exact"/>
        <w:jc w:val="left"/>
        <w:rPr>
          <w:rFonts w:ascii="宋体" w:hAnsi="宋体"/>
          <w:color w:val="auto"/>
          <w:szCs w:val="21"/>
          <w:highlight w:val="none"/>
        </w:rPr>
      </w:pPr>
      <w:r>
        <w:rPr>
          <w:rFonts w:ascii="宋体" w:hAnsi="宋体"/>
          <w:color w:val="auto"/>
          <w:szCs w:val="21"/>
          <w:highlight w:val="none"/>
        </w:rPr>
        <w:t>金华市婺城区住房和城乡建设局</w:t>
      </w:r>
    </w:p>
    <w:p>
      <w:pPr>
        <w:widowControl/>
        <w:spacing w:line="400" w:lineRule="exact"/>
        <w:jc w:val="left"/>
        <w:rPr>
          <w:rFonts w:ascii="宋体" w:hAnsi="宋体"/>
          <w:color w:val="auto"/>
          <w:szCs w:val="21"/>
          <w:highlight w:val="none"/>
        </w:rPr>
      </w:pPr>
      <w:r>
        <w:rPr>
          <w:rFonts w:ascii="宋体" w:hAnsi="宋体"/>
          <w:color w:val="auto"/>
          <w:szCs w:val="21"/>
          <w:highlight w:val="none"/>
        </w:rPr>
        <w:t>举报电话：0579-82337419  0579-82307732</w:t>
      </w:r>
      <w:r>
        <w:rPr>
          <w:rFonts w:ascii="宋体" w:hAnsi="宋体"/>
          <w:color w:val="auto"/>
          <w:szCs w:val="21"/>
          <w:highlight w:val="none"/>
        </w:rPr>
        <w:br w:type="textWrapping"/>
      </w:r>
      <w:r>
        <w:rPr>
          <w:rFonts w:ascii="宋体" w:hAnsi="宋体"/>
          <w:color w:val="auto"/>
          <w:szCs w:val="21"/>
          <w:highlight w:val="none"/>
        </w:rPr>
        <w:t>举报邮箱：498615664@qq.com</w:t>
      </w:r>
    </w:p>
    <w:p>
      <w:pPr>
        <w:spacing w:line="400" w:lineRule="exact"/>
        <w:rPr>
          <w:color w:val="auto"/>
          <w:szCs w:val="21"/>
          <w:highlight w:val="none"/>
        </w:rPr>
      </w:pPr>
      <w:r>
        <w:rPr>
          <w:rFonts w:hint="eastAsia"/>
          <w:color w:val="auto"/>
          <w:szCs w:val="21"/>
          <w:highlight w:val="none"/>
        </w:rPr>
        <w:t>注意事项</w:t>
      </w:r>
    </w:p>
    <w:p>
      <w:pPr>
        <w:widowControl/>
        <w:spacing w:line="400" w:lineRule="exact"/>
        <w:jc w:val="left"/>
        <w:rPr>
          <w:color w:val="auto"/>
          <w:szCs w:val="21"/>
          <w:highlight w:val="none"/>
        </w:rPr>
      </w:pPr>
      <w:r>
        <w:rPr>
          <w:rFonts w:hint="eastAsia"/>
          <w:color w:val="auto"/>
          <w:szCs w:val="21"/>
          <w:highlight w:val="none"/>
        </w:rPr>
        <w:t>1、潜在投标人可在金华婺城区公共资源交易网中浏览招标文件。如已注册账号且办理过浙江</w:t>
      </w:r>
      <w:r>
        <w:rPr>
          <w:color w:val="auto"/>
          <w:szCs w:val="21"/>
          <w:highlight w:val="none"/>
        </w:rPr>
        <w:t xml:space="preserve"> CA </w:t>
      </w:r>
      <w:r>
        <w:rPr>
          <w:rFonts w:hint="eastAsia"/>
          <w:color w:val="auto"/>
          <w:szCs w:val="21"/>
          <w:highlight w:val="none"/>
        </w:rPr>
        <w:t>证书和电子签章，需到金华市公共资源交易中心（金华市双龙南街858号）四楼办公室办理</w:t>
      </w:r>
      <w:r>
        <w:rPr>
          <w:color w:val="auto"/>
          <w:szCs w:val="21"/>
          <w:highlight w:val="none"/>
        </w:rPr>
        <w:t>CA</w:t>
      </w:r>
      <w:r>
        <w:rPr>
          <w:rFonts w:hint="eastAsia"/>
          <w:color w:val="auto"/>
          <w:szCs w:val="21"/>
          <w:highlight w:val="none"/>
        </w:rPr>
        <w:t>锁婺城区模块扩充</w:t>
      </w:r>
      <w:r>
        <w:rPr>
          <w:color w:val="auto"/>
          <w:szCs w:val="21"/>
          <w:highlight w:val="none"/>
        </w:rPr>
        <w:t xml:space="preserve">, </w:t>
      </w:r>
      <w:r>
        <w:rPr>
          <w:rFonts w:hint="eastAsia"/>
          <w:color w:val="auto"/>
          <w:szCs w:val="21"/>
          <w:highlight w:val="none"/>
        </w:rPr>
        <w:t>才可通过账号登陆系统下载招标文件；</w:t>
      </w:r>
    </w:p>
    <w:p>
      <w:pPr>
        <w:widowControl/>
        <w:spacing w:line="400" w:lineRule="exact"/>
        <w:jc w:val="left"/>
        <w:rPr>
          <w:color w:val="auto"/>
          <w:szCs w:val="21"/>
          <w:highlight w:val="none"/>
        </w:rPr>
      </w:pPr>
      <w:r>
        <w:rPr>
          <w:rFonts w:hint="eastAsia"/>
          <w:color w:val="auto"/>
          <w:szCs w:val="21"/>
          <w:highlight w:val="none"/>
        </w:rPr>
        <w:t>2、缴纳投标保证金需从CA锁办理：按招标文件中的投标人须知前附表要求缴纳投标保证金，缴纳后进入CA锁复核是否缴纳成功，如未成功请及时与0579-83180571、82487077联系，开标时携带保证金缴纳凭证（银行缴纳单回执）以便核对缴纳信息。</w:t>
      </w:r>
    </w:p>
    <w:p>
      <w:pPr>
        <w:widowControl/>
        <w:jc w:val="left"/>
        <w:rPr>
          <w:rFonts w:ascii="Times New Roman" w:hAnsi="Times New Roman"/>
          <w:b/>
          <w:bCs/>
          <w:color w:val="auto"/>
          <w:kern w:val="44"/>
          <w:sz w:val="32"/>
          <w:szCs w:val="32"/>
          <w:highlight w:val="none"/>
        </w:rPr>
      </w:pPr>
      <w:bookmarkStart w:id="4" w:name="_Toc403986546"/>
      <w:r>
        <w:rPr>
          <w:color w:val="auto"/>
          <w:szCs w:val="32"/>
          <w:highlight w:val="none"/>
        </w:rPr>
        <w:br w:type="page"/>
      </w:r>
    </w:p>
    <w:p>
      <w:pPr>
        <w:pStyle w:val="4"/>
        <w:tabs>
          <w:tab w:val="left" w:pos="2615"/>
          <w:tab w:val="center" w:pos="4819"/>
          <w:tab w:val="left" w:pos="7125"/>
        </w:tabs>
        <w:spacing w:line="360" w:lineRule="exact"/>
        <w:jc w:val="center"/>
        <w:rPr>
          <w:color w:val="auto"/>
          <w:szCs w:val="32"/>
          <w:highlight w:val="none"/>
        </w:rPr>
      </w:pPr>
      <w:r>
        <w:rPr>
          <w:rFonts w:hint="eastAsia"/>
          <w:color w:val="auto"/>
          <w:szCs w:val="32"/>
          <w:highlight w:val="none"/>
        </w:rPr>
        <w:t>第二章 投标人须知</w:t>
      </w:r>
      <w:bookmarkEnd w:id="4"/>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r>
        <w:rPr>
          <w:rFonts w:hint="eastAsia" w:ascii="宋体" w:hAnsi="宋体" w:cs="宋体"/>
          <w:b/>
          <w:color w:val="auto"/>
          <w:kern w:val="0"/>
          <w:sz w:val="24"/>
          <w:highlight w:val="none"/>
        </w:rPr>
        <w:t>投标人须知前附表</w:t>
      </w:r>
    </w:p>
    <w:tbl>
      <w:tblPr>
        <w:tblStyle w:val="18"/>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993"/>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900" w:type="dxa"/>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条款号</w:t>
            </w:r>
          </w:p>
        </w:tc>
        <w:tc>
          <w:tcPr>
            <w:tcW w:w="2993" w:type="dxa"/>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条 款 名 称</w:t>
            </w:r>
          </w:p>
        </w:tc>
        <w:tc>
          <w:tcPr>
            <w:tcW w:w="6007" w:type="dxa"/>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1.1.2</w:t>
            </w:r>
          </w:p>
        </w:tc>
        <w:tc>
          <w:tcPr>
            <w:tcW w:w="2993" w:type="dxa"/>
            <w:vAlign w:val="center"/>
          </w:tcPr>
          <w:p>
            <w:pPr>
              <w:spacing w:line="360" w:lineRule="exact"/>
              <w:jc w:val="center"/>
              <w:rPr>
                <w:rFonts w:ascii="宋体" w:hAnsi="宋体"/>
                <w:color w:val="auto"/>
                <w:highlight w:val="none"/>
              </w:rPr>
            </w:pPr>
            <w:r>
              <w:rPr>
                <w:rFonts w:hint="eastAsia" w:ascii="宋体" w:hAnsi="宋体"/>
                <w:color w:val="auto"/>
                <w:highlight w:val="none"/>
              </w:rPr>
              <w:t>招标人</w:t>
            </w:r>
          </w:p>
        </w:tc>
        <w:tc>
          <w:tcPr>
            <w:tcW w:w="6007"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名称：金华市婺城区城乡建设投资集团有限公司</w:t>
            </w:r>
          </w:p>
          <w:p>
            <w:pPr>
              <w:spacing w:line="400" w:lineRule="exact"/>
              <w:rPr>
                <w:rFonts w:ascii="宋体" w:hAnsi="宋体"/>
                <w:color w:val="auto"/>
                <w:szCs w:val="21"/>
                <w:highlight w:val="none"/>
              </w:rPr>
            </w:pPr>
            <w:r>
              <w:rPr>
                <w:rFonts w:hint="eastAsia" w:ascii="宋体" w:hAnsi="宋体"/>
                <w:color w:val="auto"/>
                <w:szCs w:val="21"/>
                <w:highlight w:val="none"/>
              </w:rPr>
              <w:t>地址：金华市婺城区临江东路1100号合丰外包服务产业园2#商务大楼9楼</w:t>
            </w:r>
          </w:p>
          <w:p>
            <w:pPr>
              <w:spacing w:line="40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联 系</w:t>
            </w:r>
            <w:r>
              <w:rPr>
                <w:rFonts w:hint="eastAsia" w:ascii="宋体" w:hAnsi="宋体"/>
                <w:color w:val="auto"/>
                <w:szCs w:val="21"/>
                <w:highlight w:val="none"/>
              </w:rPr>
              <w:t xml:space="preserve"> 人：</w:t>
            </w:r>
            <w:r>
              <w:rPr>
                <w:rFonts w:hint="eastAsia" w:ascii="宋体" w:hAnsi="宋体"/>
                <w:color w:val="auto"/>
                <w:szCs w:val="21"/>
                <w:highlight w:val="none"/>
                <w:lang w:val="en-US" w:eastAsia="zh-CN"/>
              </w:rPr>
              <w:t xml:space="preserve"> 方女士  </w:t>
            </w:r>
          </w:p>
          <w:p>
            <w:pPr>
              <w:spacing w:line="40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电    话：</w:t>
            </w:r>
            <w:r>
              <w:rPr>
                <w:rFonts w:hint="eastAsia" w:ascii="宋体" w:hAnsi="宋体"/>
                <w:color w:val="auto"/>
                <w:szCs w:val="21"/>
                <w:highlight w:val="none"/>
                <w:lang w:val="en-US" w:eastAsia="zh-CN"/>
              </w:rPr>
              <w:t xml:space="preserve"> 0579-89108685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1.1.3</w:t>
            </w:r>
          </w:p>
        </w:tc>
        <w:tc>
          <w:tcPr>
            <w:tcW w:w="2993" w:type="dxa"/>
            <w:vAlign w:val="center"/>
          </w:tcPr>
          <w:p>
            <w:pPr>
              <w:spacing w:line="360" w:lineRule="exact"/>
              <w:jc w:val="center"/>
              <w:rPr>
                <w:rFonts w:ascii="宋体" w:hAnsi="宋体"/>
                <w:color w:val="auto"/>
                <w:highlight w:val="none"/>
              </w:rPr>
            </w:pPr>
            <w:r>
              <w:rPr>
                <w:rFonts w:hint="eastAsia" w:ascii="宋体" w:hAnsi="宋体"/>
                <w:color w:val="auto"/>
                <w:highlight w:val="none"/>
              </w:rPr>
              <w:t>招标代理机构</w:t>
            </w:r>
          </w:p>
        </w:tc>
        <w:tc>
          <w:tcPr>
            <w:tcW w:w="6007" w:type="dxa"/>
            <w:vAlign w:val="center"/>
          </w:tcPr>
          <w:p>
            <w:pPr>
              <w:spacing w:line="400" w:lineRule="exact"/>
              <w:rPr>
                <w:rFonts w:hint="eastAsia" w:ascii="宋体" w:hAnsi="宋体"/>
                <w:color w:val="auto"/>
                <w:szCs w:val="21"/>
                <w:highlight w:val="none"/>
                <w:lang w:eastAsia="zh-CN"/>
              </w:rPr>
            </w:pPr>
            <w:r>
              <w:rPr>
                <w:rFonts w:hint="eastAsia" w:ascii="宋体" w:hAnsi="宋体"/>
                <w:color w:val="auto"/>
                <w:szCs w:val="21"/>
                <w:highlight w:val="none"/>
              </w:rPr>
              <w:t>名称：</w:t>
            </w:r>
            <w:r>
              <w:rPr>
                <w:rFonts w:hint="eastAsia" w:ascii="宋体" w:hAnsi="宋体"/>
                <w:color w:val="auto"/>
                <w:szCs w:val="21"/>
                <w:highlight w:val="none"/>
                <w:lang w:eastAsia="zh-CN"/>
              </w:rPr>
              <w:t>浙江安泰工程咨询有限公司</w:t>
            </w:r>
          </w:p>
          <w:p>
            <w:pPr>
              <w:spacing w:line="400" w:lineRule="exact"/>
              <w:rPr>
                <w:rFonts w:hint="eastAsia"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lang w:eastAsia="zh-CN"/>
              </w:rPr>
              <w:t>金华市双龙南街1018号新融大厦9楼</w:t>
            </w:r>
            <w:r>
              <w:rPr>
                <w:rFonts w:hint="eastAsia" w:ascii="宋体" w:hAnsi="宋体"/>
                <w:color w:val="auto"/>
                <w:szCs w:val="21"/>
                <w:highlight w:val="none"/>
              </w:rPr>
              <w:t xml:space="preserve">   </w:t>
            </w:r>
          </w:p>
          <w:p>
            <w:pPr>
              <w:spacing w:line="400" w:lineRule="exact"/>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eastAsia="zh-CN"/>
              </w:rPr>
              <w:t>方</w:t>
            </w:r>
            <w:r>
              <w:rPr>
                <w:rFonts w:hint="eastAsia" w:ascii="宋体" w:hAnsi="宋体"/>
                <w:color w:val="auto"/>
                <w:szCs w:val="21"/>
                <w:highlight w:val="none"/>
              </w:rPr>
              <w:t xml:space="preserve">先生 </w:t>
            </w:r>
          </w:p>
          <w:p>
            <w:pPr>
              <w:spacing w:line="400" w:lineRule="exact"/>
              <w:rPr>
                <w:rFonts w:ascii="宋体" w:hAnsi="宋体"/>
                <w:color w:val="auto"/>
                <w:szCs w:val="21"/>
                <w:highlight w:val="none"/>
              </w:rPr>
            </w:pPr>
            <w:r>
              <w:rPr>
                <w:rFonts w:hint="eastAsia" w:ascii="宋体" w:hAnsi="宋体"/>
                <w:color w:val="auto"/>
                <w:szCs w:val="21"/>
                <w:highlight w:val="none"/>
              </w:rPr>
              <w:t xml:space="preserve">电话：0579-82335208、18358930524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1.1.4</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6007" w:type="dxa"/>
            <w:vAlign w:val="center"/>
          </w:tcPr>
          <w:p>
            <w:pPr>
              <w:spacing w:line="380" w:lineRule="exact"/>
              <w:jc w:val="left"/>
              <w:rPr>
                <w:rFonts w:ascii="宋体" w:hAnsi="宋体"/>
                <w:color w:val="auto"/>
                <w:highlight w:val="none"/>
              </w:rPr>
            </w:pPr>
            <w:r>
              <w:rPr>
                <w:rFonts w:hint="eastAsia"/>
                <w:color w:val="auto"/>
                <w:highlight w:val="none"/>
                <w:lang w:eastAsia="zh-CN"/>
              </w:rPr>
              <w:t>金华市婺城区安居工程城中村改造项目（城西西郊三期）</w:t>
            </w:r>
            <w:r>
              <w:rPr>
                <w:rFonts w:hint="eastAsia"/>
                <w:color w:val="auto"/>
                <w:highlight w:val="none"/>
              </w:rPr>
              <w:t>监理招标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1.1.5</w:t>
            </w:r>
          </w:p>
        </w:tc>
        <w:tc>
          <w:tcPr>
            <w:tcW w:w="2993" w:type="dxa"/>
            <w:vAlign w:val="center"/>
          </w:tcPr>
          <w:p>
            <w:pPr>
              <w:spacing w:line="380" w:lineRule="exact"/>
              <w:jc w:val="center"/>
              <w:rPr>
                <w:color w:val="auto"/>
                <w:highlight w:val="none"/>
              </w:rPr>
            </w:pPr>
            <w:r>
              <w:rPr>
                <w:rFonts w:hint="eastAsia"/>
                <w:color w:val="auto"/>
                <w:highlight w:val="none"/>
              </w:rPr>
              <w:t>建设地点</w:t>
            </w:r>
          </w:p>
        </w:tc>
        <w:tc>
          <w:tcPr>
            <w:tcW w:w="6007" w:type="dxa"/>
            <w:vAlign w:val="center"/>
          </w:tcPr>
          <w:p>
            <w:pPr>
              <w:spacing w:line="380" w:lineRule="exact"/>
              <w:jc w:val="left"/>
              <w:rPr>
                <w:rFonts w:hint="eastAsia" w:ascii="宋体" w:hAnsi="宋体" w:eastAsia="宋体"/>
                <w:color w:val="auto"/>
                <w:highlight w:val="none"/>
                <w:lang w:eastAsia="zh-CN"/>
              </w:rPr>
            </w:pPr>
            <w:r>
              <w:rPr>
                <w:rFonts w:hint="eastAsia" w:ascii="宋体" w:hAnsi="宋体" w:cs="宋体"/>
                <w:color w:val="auto"/>
                <w:kern w:val="0"/>
                <w:szCs w:val="21"/>
                <w:highlight w:val="none"/>
                <w:shd w:val="clear" w:color="auto" w:fill="FFFFFF"/>
                <w:lang w:eastAsia="zh-CN"/>
              </w:rPr>
              <w:t>解放西路以南、婺州街以西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1.3.1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招标范围</w:t>
            </w:r>
          </w:p>
        </w:tc>
        <w:tc>
          <w:tcPr>
            <w:tcW w:w="6007" w:type="dxa"/>
            <w:vAlign w:val="center"/>
          </w:tcPr>
          <w:p>
            <w:pPr>
              <w:spacing w:line="380" w:lineRule="exact"/>
              <w:jc w:val="left"/>
              <w:rPr>
                <w:rFonts w:ascii="宋体" w:hAnsi="宋体"/>
                <w:color w:val="auto"/>
                <w:highlight w:val="none"/>
              </w:rPr>
            </w:pPr>
            <w:r>
              <w:rPr>
                <w:rFonts w:hint="eastAsia" w:ascii="宋体" w:hAnsi="宋体"/>
                <w:color w:val="auto"/>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1.3.2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计划监理服务期</w:t>
            </w:r>
          </w:p>
        </w:tc>
        <w:tc>
          <w:tcPr>
            <w:tcW w:w="6007" w:type="dxa"/>
            <w:vAlign w:val="center"/>
          </w:tcPr>
          <w:p>
            <w:pPr>
              <w:spacing w:line="380" w:lineRule="exact"/>
              <w:jc w:val="left"/>
              <w:rPr>
                <w:rFonts w:ascii="宋体" w:hAnsi="宋体"/>
                <w:color w:val="auto"/>
                <w:highlight w:val="none"/>
              </w:rPr>
            </w:pPr>
            <w:r>
              <w:rPr>
                <w:rFonts w:hint="eastAsia" w:ascii="宋体" w:hAnsi="宋体"/>
                <w:color w:val="auto"/>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1.3.3</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质量要求</w:t>
            </w:r>
          </w:p>
        </w:tc>
        <w:tc>
          <w:tcPr>
            <w:tcW w:w="6007" w:type="dxa"/>
            <w:vAlign w:val="center"/>
          </w:tcPr>
          <w:p>
            <w:pPr>
              <w:spacing w:line="380" w:lineRule="exact"/>
              <w:rPr>
                <w:rFonts w:ascii="宋体" w:hAnsi="宋体"/>
                <w:color w:val="auto"/>
                <w:highlight w:val="none"/>
              </w:rPr>
            </w:pPr>
            <w:r>
              <w:rPr>
                <w:rFonts w:hint="eastAsia" w:ascii="宋体" w:hAnsi="宋体"/>
                <w:color w:val="auto"/>
                <w:szCs w:val="21"/>
                <w:highlight w:val="none"/>
              </w:rPr>
              <w:t>不低于国家相关验收的合格标准并确保“双龙杯”</w:t>
            </w:r>
            <w:r>
              <w:rPr>
                <w:rFonts w:hint="eastAsia" w:ascii="宋体" w:hAnsi="宋体"/>
                <w:color w:val="auto"/>
                <w:szCs w:val="21"/>
                <w:highlight w:val="none"/>
                <w:lang w:eastAsia="zh-CN"/>
              </w:rPr>
              <w:t>并达到施工合同约定的质量要求</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1.4</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投标人资格要求</w:t>
            </w:r>
          </w:p>
        </w:tc>
        <w:tc>
          <w:tcPr>
            <w:tcW w:w="600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企业：投标人须具备建设行政主管部门核发的工程监理综合资质或房屋建筑</w:t>
            </w:r>
            <w:r>
              <w:rPr>
                <w:rFonts w:hint="eastAsia" w:ascii="宋体" w:hAnsi="宋体"/>
                <w:color w:val="auto"/>
                <w:szCs w:val="21"/>
                <w:highlight w:val="none"/>
              </w:rPr>
              <w:t>工程监理</w:t>
            </w:r>
            <w:r>
              <w:rPr>
                <w:rFonts w:hint="eastAsia" w:ascii="宋体" w:hAnsi="宋体"/>
                <w:color w:val="auto"/>
                <w:szCs w:val="21"/>
                <w:highlight w:val="none"/>
                <w:lang w:eastAsia="zh-CN"/>
              </w:rPr>
              <w:t>甲级</w:t>
            </w:r>
            <w:r>
              <w:rPr>
                <w:rFonts w:hint="eastAsia" w:ascii="宋体" w:hAnsi="宋体"/>
                <w:color w:val="auto"/>
                <w:szCs w:val="21"/>
                <w:highlight w:val="none"/>
              </w:rPr>
              <w:t>资</w:t>
            </w:r>
            <w:r>
              <w:rPr>
                <w:rFonts w:hint="eastAsia" w:ascii="宋体" w:hAnsi="宋体"/>
                <w:color w:val="auto"/>
                <w:szCs w:val="21"/>
                <w:highlight w:val="none"/>
              </w:rPr>
              <w:t>质，且同时具有人防工程监理</w:t>
            </w:r>
            <w:r>
              <w:rPr>
                <w:rFonts w:hint="eastAsia" w:ascii="宋体" w:hAnsi="宋体"/>
                <w:color w:val="auto"/>
                <w:szCs w:val="21"/>
                <w:highlight w:val="none"/>
                <w:lang w:eastAsia="zh-CN"/>
              </w:rPr>
              <w:t>乙级及以上</w:t>
            </w:r>
            <w:r>
              <w:rPr>
                <w:rFonts w:hint="eastAsia" w:ascii="宋体" w:hAnsi="宋体"/>
                <w:color w:val="auto"/>
                <w:szCs w:val="21"/>
                <w:highlight w:val="none"/>
              </w:rPr>
              <w:t>资质的独立法人，并在人员、设备、资金等方面具有相应的监理能力（本工程不接受联合体投标）；</w:t>
            </w:r>
          </w:p>
          <w:p>
            <w:pPr>
              <w:spacing w:line="360" w:lineRule="exact"/>
              <w:rPr>
                <w:rFonts w:ascii="宋体" w:hAnsi="宋体"/>
                <w:color w:val="auto"/>
                <w:szCs w:val="21"/>
                <w:highlight w:val="none"/>
              </w:rPr>
            </w:pPr>
            <w:r>
              <w:rPr>
                <w:rFonts w:hint="eastAsia" w:ascii="宋体" w:hAnsi="宋体"/>
                <w:color w:val="auto"/>
                <w:szCs w:val="21"/>
                <w:highlight w:val="none"/>
              </w:rPr>
              <w:t>总监：拟派总监应具有房屋建筑工程专业的全国注册监理工程师资格且未被</w:t>
            </w:r>
            <w:r>
              <w:rPr>
                <w:rFonts w:hint="eastAsia"/>
                <w:color w:val="auto"/>
                <w:highlight w:val="none"/>
                <w:shd w:val="clear" w:color="auto" w:fill="FFFFFF"/>
              </w:rPr>
              <w:t>浙江省建筑市场监督和诚信信息发布平台锁定</w:t>
            </w:r>
            <w:r>
              <w:rPr>
                <w:rFonts w:hint="eastAsia" w:ascii="宋体" w:hAnsi="宋体"/>
                <w:color w:val="auto"/>
                <w:szCs w:val="21"/>
                <w:highlight w:val="none"/>
              </w:rPr>
              <w:t>（中标后项目总监不得更换），项目总监须为本单位在册人员证明（分别提供社保处出具的</w:t>
            </w:r>
            <w:r>
              <w:rPr>
                <w:rFonts w:hint="eastAsia" w:ascii="宋体" w:hAnsi="宋体"/>
                <w:color w:val="auto"/>
                <w:szCs w:val="21"/>
                <w:highlight w:val="none"/>
                <w:lang w:eastAsia="zh-CN"/>
              </w:rPr>
              <w:t>2021年1月-3月</w:t>
            </w:r>
            <w:r>
              <w:rPr>
                <w:rFonts w:hint="eastAsia" w:ascii="宋体" w:hAnsi="宋体"/>
                <w:color w:val="auto"/>
                <w:szCs w:val="21"/>
                <w:highlight w:val="none"/>
              </w:rPr>
              <w:t>连续3个月养老保险缴纳清单或个人缴纳对账单）。</w:t>
            </w:r>
          </w:p>
          <w:p>
            <w:pPr>
              <w:spacing w:line="360" w:lineRule="exact"/>
              <w:rPr>
                <w:rFonts w:ascii="宋体" w:hAnsi="宋体"/>
                <w:color w:val="auto"/>
                <w:szCs w:val="21"/>
                <w:highlight w:val="none"/>
              </w:rPr>
            </w:pPr>
            <w:r>
              <w:rPr>
                <w:rFonts w:hint="eastAsia"/>
                <w:color w:val="auto"/>
                <w:highlight w:val="none"/>
                <w:shd w:val="clear" w:color="auto" w:fill="FFFFFF"/>
              </w:rPr>
              <w:t>拟派</w:t>
            </w:r>
            <w:r>
              <w:rPr>
                <w:rFonts w:hint="eastAsia" w:ascii="宋体" w:hAnsi="宋体"/>
                <w:color w:val="auto"/>
                <w:szCs w:val="21"/>
                <w:highlight w:val="none"/>
              </w:rPr>
              <w:t>总监</w:t>
            </w:r>
            <w:r>
              <w:rPr>
                <w:rFonts w:hint="eastAsia"/>
                <w:color w:val="auto"/>
                <w:highlight w:val="none"/>
                <w:shd w:val="clear" w:color="auto" w:fill="FFFFFF"/>
              </w:rPr>
              <w:t>必须在浙江省建筑市场监督和诚信信息平台办理入库手续</w:t>
            </w:r>
            <w:r>
              <w:rPr>
                <w:rFonts w:ascii="宋体" w:hAnsi="宋体"/>
                <w:color w:val="auto"/>
                <w:szCs w:val="21"/>
                <w:highlight w:val="none"/>
              </w:rPr>
              <w:t>且浙江省建筑市场监督和诚信信息平台中人员证件信息在有效期内</w:t>
            </w:r>
            <w:r>
              <w:rPr>
                <w:rFonts w:hint="eastAsia"/>
                <w:color w:val="auto"/>
                <w:highlight w:val="none"/>
                <w:shd w:val="clear" w:color="auto" w:fill="FFFFFF"/>
              </w:rPr>
              <w:t>。</w:t>
            </w:r>
          </w:p>
          <w:p>
            <w:pPr>
              <w:spacing w:line="380" w:lineRule="exact"/>
              <w:rPr>
                <w:rFonts w:ascii="宋体" w:hAnsi="宋体"/>
                <w:color w:val="auto"/>
                <w:szCs w:val="21"/>
                <w:highlight w:val="none"/>
              </w:rPr>
            </w:pPr>
            <w:r>
              <w:rPr>
                <w:rFonts w:hint="eastAsia" w:ascii="宋体" w:hAnsi="宋体"/>
                <w:color w:val="auto"/>
                <w:szCs w:val="21"/>
                <w:highlight w:val="none"/>
              </w:rPr>
              <w:t>其它要求：</w:t>
            </w:r>
          </w:p>
          <w:p>
            <w:pPr>
              <w:spacing w:line="380" w:lineRule="exact"/>
              <w:rPr>
                <w:rFonts w:ascii="宋体" w:hAnsi="宋体"/>
                <w:color w:val="auto"/>
                <w:szCs w:val="21"/>
                <w:highlight w:val="none"/>
              </w:rPr>
            </w:pPr>
            <w:r>
              <w:rPr>
                <w:rFonts w:hint="eastAsia" w:ascii="宋体" w:hAnsi="宋体"/>
                <w:color w:val="auto"/>
                <w:szCs w:val="21"/>
                <w:highlight w:val="none"/>
              </w:rPr>
              <w:t>投标人须提供自招标公告发布之日起至投标截止时间止期间于“金华市建筑市场监督管理信息系统”中下载的《金华市建筑业企业信息表》（信息表中登记的企业资质类别及等级满足本工程招标要求）；</w:t>
            </w:r>
          </w:p>
          <w:p>
            <w:pPr>
              <w:spacing w:line="380" w:lineRule="exact"/>
              <w:ind w:firstLine="420" w:firstLineChars="200"/>
              <w:rPr>
                <w:rFonts w:ascii="宋体" w:hAnsi="宋体"/>
                <w:color w:val="auto"/>
                <w:highlight w:val="none"/>
              </w:rPr>
            </w:pPr>
            <w:r>
              <w:rPr>
                <w:rFonts w:hint="eastAsia" w:ascii="宋体" w:hAnsi="宋体"/>
                <w:color w:val="auto"/>
                <w:highlight w:val="none"/>
              </w:rPr>
              <w:t>①潜在投标人在投标时，不在被国家住房和城乡建设部或浙江省住房和城乡建设厅或企业注册所在地的建设行政主管部门或金华市住房和城乡建设局或婺城区住房和城乡建设局公示为不能投标的限制期限内。</w:t>
            </w:r>
          </w:p>
          <w:p>
            <w:pPr>
              <w:spacing w:line="380" w:lineRule="exact"/>
              <w:ind w:firstLine="420" w:firstLineChars="200"/>
              <w:rPr>
                <w:rFonts w:ascii="宋体" w:hAnsi="宋体"/>
                <w:color w:val="auto"/>
                <w:highlight w:val="none"/>
              </w:rPr>
            </w:pPr>
            <w:r>
              <w:rPr>
                <w:rFonts w:hint="eastAsia" w:ascii="宋体" w:hAnsi="宋体"/>
                <w:color w:val="auto"/>
                <w:highlight w:val="none"/>
              </w:rPr>
              <w:t>②潜在投标人在投标时，项目负责人无因犯罪被判刑在刑期内（包括行贿犯罪判刑）。</w:t>
            </w:r>
          </w:p>
          <w:p>
            <w:pPr>
              <w:spacing w:line="380" w:lineRule="exact"/>
              <w:ind w:firstLine="420" w:firstLineChars="200"/>
              <w:rPr>
                <w:rFonts w:ascii="宋体" w:hAnsi="宋体"/>
                <w:color w:val="auto"/>
                <w:szCs w:val="21"/>
                <w:highlight w:val="none"/>
              </w:rPr>
            </w:pPr>
            <w:r>
              <w:rPr>
                <w:rFonts w:hint="eastAsia" w:ascii="宋体" w:hAnsi="宋体"/>
                <w:color w:val="auto"/>
                <w:highlight w:val="none"/>
              </w:rPr>
              <w:t>③潜在投标人在投标时，项目负责人不在被国家住房和城乡建设部或浙江省住房和城乡建设厅或企业注册所在地的建设行政主管部门或金华市住房和城乡建设局或婺城区住房和城乡建设局公示为不能投标的限制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1.9.1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踏勘现场</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highlight w:val="none"/>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1.10.1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投标预备会</w:t>
            </w:r>
          </w:p>
        </w:tc>
        <w:tc>
          <w:tcPr>
            <w:tcW w:w="6007" w:type="dxa"/>
            <w:vAlign w:val="center"/>
          </w:tcPr>
          <w:p>
            <w:pPr>
              <w:spacing w:line="380" w:lineRule="exact"/>
              <w:jc w:val="left"/>
              <w:rPr>
                <w:rFonts w:ascii="宋体" w:hAnsi="宋体"/>
                <w:color w:val="auto"/>
                <w:szCs w:val="21"/>
                <w:highlight w:val="none"/>
              </w:rPr>
            </w:pPr>
            <w:r>
              <w:rPr>
                <w:rFonts w:hint="eastAsia" w:ascii="宋体" w:hAnsi="宋体"/>
                <w:color w:val="auto"/>
                <w:szCs w:val="21"/>
                <w:highlight w:val="none"/>
              </w:rPr>
              <w:t>有必要组织时，见招标人另行通知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1.10.2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投标人提出问题的截止时间</w:t>
            </w:r>
          </w:p>
        </w:tc>
        <w:tc>
          <w:tcPr>
            <w:tcW w:w="6007" w:type="dxa"/>
            <w:vAlign w:val="center"/>
          </w:tcPr>
          <w:p>
            <w:pPr>
              <w:spacing w:line="380" w:lineRule="exact"/>
              <w:rPr>
                <w:rFonts w:ascii="宋体" w:hAnsi="宋体"/>
                <w:color w:val="auto"/>
                <w:szCs w:val="21"/>
                <w:highlight w:val="none"/>
              </w:rPr>
            </w:pP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  月  日17时00分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1.10.3</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招标人书面澄清的截止时间</w:t>
            </w:r>
          </w:p>
        </w:tc>
        <w:tc>
          <w:tcPr>
            <w:tcW w:w="6007" w:type="dxa"/>
            <w:vAlign w:val="center"/>
          </w:tcPr>
          <w:p>
            <w:pPr>
              <w:spacing w:line="380" w:lineRule="exact"/>
              <w:jc w:val="left"/>
              <w:rPr>
                <w:rFonts w:ascii="宋体" w:hAnsi="宋体"/>
                <w:color w:val="auto"/>
                <w:szCs w:val="21"/>
                <w:highlight w:val="none"/>
              </w:rPr>
            </w:pP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  月  日17时00分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分包</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1.12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偏离</w:t>
            </w:r>
          </w:p>
        </w:tc>
        <w:tc>
          <w:tcPr>
            <w:tcW w:w="6007" w:type="dxa"/>
            <w:vAlign w:val="center"/>
          </w:tcPr>
          <w:p>
            <w:pPr>
              <w:spacing w:line="380" w:lineRule="exact"/>
              <w:rPr>
                <w:rFonts w:ascii="宋体" w:hAnsi="宋体"/>
                <w:color w:val="auto"/>
                <w:sz w:val="18"/>
                <w:szCs w:val="18"/>
                <w:highlight w:val="none"/>
              </w:rPr>
            </w:pPr>
            <w:r>
              <w:rPr>
                <w:rFonts w:hint="eastAsia"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2.1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构成招标文件的其他材料</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highlight w:val="none"/>
              </w:rPr>
              <w:t>招标补充文件或对招标文件所作的澄清、修改。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2.2.2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投标截止时间</w:t>
            </w:r>
          </w:p>
        </w:tc>
        <w:tc>
          <w:tcPr>
            <w:tcW w:w="6007" w:type="dxa"/>
            <w:vAlign w:val="center"/>
          </w:tcPr>
          <w:p>
            <w:pPr>
              <w:spacing w:line="380" w:lineRule="exact"/>
              <w:jc w:val="left"/>
              <w:rPr>
                <w:rFonts w:ascii="宋体" w:hAnsi="宋体"/>
                <w:color w:val="auto"/>
                <w:szCs w:val="21"/>
                <w:highlight w:val="none"/>
              </w:rPr>
            </w:pP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  月  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2.2.3</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投标人确认收到招标文件澄清的时间</w:t>
            </w:r>
          </w:p>
        </w:tc>
        <w:tc>
          <w:tcPr>
            <w:tcW w:w="6007" w:type="dxa"/>
            <w:vMerge w:val="restart"/>
            <w:vAlign w:val="center"/>
          </w:tcPr>
          <w:p>
            <w:pPr>
              <w:spacing w:line="380" w:lineRule="exact"/>
              <w:jc w:val="left"/>
              <w:rPr>
                <w:rFonts w:ascii="宋体" w:hAnsi="宋体"/>
                <w:color w:val="auto"/>
                <w:szCs w:val="21"/>
                <w:highlight w:val="none"/>
              </w:rPr>
            </w:pPr>
            <w:r>
              <w:rPr>
                <w:rFonts w:hint="eastAsia" w:ascii="宋体" w:hAnsi="宋体"/>
                <w:color w:val="auto"/>
                <w:highlight w:val="none"/>
              </w:rPr>
              <w:t>由投标人自行关注婺城区公共资源交易网的建设工程——补充文件栏，招标人在规定时间内发布的关于本工程的补充文件，视为已送达相关投标人。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2.3.2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投标人确认收到招标文件修改的时间</w:t>
            </w:r>
          </w:p>
        </w:tc>
        <w:tc>
          <w:tcPr>
            <w:tcW w:w="6007" w:type="dxa"/>
            <w:vMerge w:val="continue"/>
            <w:vAlign w:val="center"/>
          </w:tcPr>
          <w:p>
            <w:pPr>
              <w:spacing w:line="38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3.1.1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构成投标文件的其他材料</w:t>
            </w:r>
          </w:p>
        </w:tc>
        <w:tc>
          <w:tcPr>
            <w:tcW w:w="6007" w:type="dxa"/>
            <w:vAlign w:val="center"/>
          </w:tcPr>
          <w:p>
            <w:pPr>
              <w:spacing w:line="380" w:lineRule="exact"/>
              <w:jc w:val="left"/>
              <w:rPr>
                <w:rFonts w:ascii="宋体" w:hAnsi="宋体"/>
                <w:color w:val="auto"/>
                <w:szCs w:val="21"/>
                <w:highlight w:val="none"/>
              </w:rPr>
            </w:pPr>
            <w:r>
              <w:rPr>
                <w:rFonts w:hint="eastAsia" w:ascii="宋体" w:hAnsi="宋体"/>
                <w:color w:val="auto"/>
                <w:szCs w:val="21"/>
                <w:highlight w:val="none"/>
              </w:rPr>
              <w:t>投标人认为应附的其他材料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3.3.1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投标有效期</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4"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3.4.1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投标保证金</w:t>
            </w:r>
          </w:p>
        </w:tc>
        <w:tc>
          <w:tcPr>
            <w:tcW w:w="6007" w:type="dxa"/>
            <w:vAlign w:val="center"/>
          </w:tcPr>
          <w:p>
            <w:pPr>
              <w:spacing w:line="300" w:lineRule="exact"/>
              <w:rPr>
                <w:color w:val="auto"/>
                <w:highlight w:val="none"/>
                <w:u w:val="single"/>
              </w:rPr>
            </w:pPr>
            <w:r>
              <w:rPr>
                <w:rFonts w:hint="eastAsia"/>
                <w:color w:val="auto"/>
                <w:highlight w:val="none"/>
              </w:rPr>
              <w:t>投标保证金金额：人民</w:t>
            </w:r>
            <w:r>
              <w:rPr>
                <w:rFonts w:hint="eastAsia"/>
                <w:color w:val="auto"/>
                <w:highlight w:val="none"/>
              </w:rPr>
              <w:t>币</w:t>
            </w:r>
            <w:r>
              <w:rPr>
                <w:rFonts w:hint="eastAsia"/>
                <w:color w:val="auto"/>
                <w:highlight w:val="none"/>
                <w:u w:val="single"/>
                <w:lang w:eastAsia="zh-CN"/>
              </w:rPr>
              <w:t>捌</w:t>
            </w:r>
            <w:r>
              <w:rPr>
                <w:rFonts w:hint="eastAsia"/>
                <w:color w:val="auto"/>
                <w:highlight w:val="none"/>
                <w:u w:val="single"/>
              </w:rPr>
              <w:t>万元</w:t>
            </w:r>
            <w:r>
              <w:rPr>
                <w:rFonts w:hint="eastAsia"/>
                <w:color w:val="auto"/>
                <w:highlight w:val="none"/>
                <w:u w:val="single"/>
                <w:lang w:eastAsia="zh-CN"/>
              </w:rPr>
              <w:t>整</w:t>
            </w:r>
          </w:p>
          <w:p>
            <w:pPr>
              <w:spacing w:line="300" w:lineRule="exact"/>
              <w:rPr>
                <w:color w:val="auto"/>
                <w:highlight w:val="none"/>
              </w:rPr>
            </w:pPr>
            <w:r>
              <w:rPr>
                <w:rFonts w:hint="eastAsia"/>
                <w:color w:val="auto"/>
                <w:highlight w:val="none"/>
              </w:rPr>
              <w:t>【截止时间：</w:t>
            </w:r>
            <w:r>
              <w:rPr>
                <w:rFonts w:hint="eastAsia" w:ascii="宋体" w:hAnsi="宋体" w:cs="宋体"/>
                <w:color w:val="auto"/>
                <w:kern w:val="0"/>
                <w:szCs w:val="21"/>
                <w:highlight w:val="none"/>
                <w:shd w:val="clear" w:color="auto" w:fill="FFFFFF"/>
              </w:rPr>
              <w:t>202</w:t>
            </w: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年</w:t>
            </w:r>
            <w:r>
              <w:rPr>
                <w:rFonts w:hint="eastAsia" w:ascii="宋体" w:hAnsi="宋体" w:cs="宋体"/>
                <w:color w:val="auto"/>
                <w:kern w:val="0"/>
                <w:szCs w:val="21"/>
                <w:highlight w:val="none"/>
                <w:shd w:val="clear" w:color="auto" w:fill="FFFFFF"/>
                <w:lang w:val="en-US" w:eastAsia="zh-CN"/>
              </w:rPr>
              <w:t xml:space="preserve">  </w:t>
            </w:r>
            <w:r>
              <w:rPr>
                <w:rFonts w:hint="eastAsia" w:ascii="宋体" w:hAnsi="宋体" w:cs="宋体"/>
                <w:color w:val="auto"/>
                <w:kern w:val="0"/>
                <w:szCs w:val="21"/>
                <w:highlight w:val="none"/>
                <w:shd w:val="clear" w:color="auto" w:fill="FFFFFF"/>
              </w:rPr>
              <w:t>月   日</w:t>
            </w:r>
            <w:r>
              <w:rPr>
                <w:rFonts w:hint="eastAsia"/>
                <w:color w:val="auto"/>
                <w:highlight w:val="none"/>
              </w:rPr>
              <w:t>（以到账时间为准）】</w:t>
            </w:r>
            <w:r>
              <w:rPr>
                <w:color w:val="auto"/>
                <w:highlight w:val="none"/>
              </w:rPr>
              <w:t xml:space="preserve"> </w:t>
            </w:r>
          </w:p>
          <w:p>
            <w:pPr>
              <w:spacing w:line="300" w:lineRule="exact"/>
              <w:rPr>
                <w:rFonts w:hint="eastAsia"/>
                <w:color w:val="auto"/>
                <w:highlight w:val="none"/>
              </w:rPr>
            </w:pPr>
            <w:r>
              <w:rPr>
                <w:rFonts w:hint="eastAsia"/>
                <w:color w:val="auto"/>
                <w:highlight w:val="none"/>
              </w:rPr>
              <w:t>投标保证金的形式：投标人可以以下任意一种形式递交投标保证金：</w:t>
            </w:r>
          </w:p>
          <w:p>
            <w:pPr>
              <w:spacing w:line="300" w:lineRule="exact"/>
              <w:rPr>
                <w:rFonts w:hint="eastAsia"/>
                <w:color w:val="auto"/>
                <w:highlight w:val="none"/>
              </w:rPr>
            </w:pPr>
            <w:r>
              <w:rPr>
                <w:rFonts w:hint="eastAsia"/>
                <w:color w:val="auto"/>
                <w:highlight w:val="none"/>
              </w:rPr>
              <w:t>（1）网上缴纳投标保证金</w:t>
            </w:r>
          </w:p>
          <w:p>
            <w:pPr>
              <w:spacing w:line="300" w:lineRule="exact"/>
              <w:rPr>
                <w:rFonts w:hint="eastAsia"/>
                <w:color w:val="auto"/>
                <w:highlight w:val="none"/>
              </w:rPr>
            </w:pPr>
            <w:r>
              <w:rPr>
                <w:rFonts w:hint="eastAsia"/>
                <w:color w:val="auto"/>
                <w:highlight w:val="none"/>
              </w:rPr>
              <w:t>递交方式：从企业基本账户汇出，账号、开户行信息通过CA 登录“金华市公共资源交易中心婺城区分中心全流程电子交易综合系统（http://www.wuch.gov.cn/col/col1229352409/index.html）”获取，点击“缴纳保证金”，选择需要缴纳保证金的项目（标段）并点击“获取账号”，选择银行确认后系统生成“缴纳订单”；投标人在转账时请按照“缴纳订单”中的信息填写收款账号、开户行信息。</w:t>
            </w:r>
          </w:p>
          <w:p>
            <w:pPr>
              <w:spacing w:line="300" w:lineRule="exact"/>
              <w:rPr>
                <w:rFonts w:hint="eastAsia"/>
                <w:color w:val="auto"/>
                <w:highlight w:val="none"/>
              </w:rPr>
            </w:pPr>
            <w:r>
              <w:rPr>
                <w:rFonts w:hint="eastAsia"/>
                <w:color w:val="auto"/>
                <w:highlight w:val="none"/>
              </w:rPr>
              <w:t>注：1、账号根据不同项目（标段）随机生成，此账号只在本项目（标段）中使用有效，请注意核对。账号漏填、混填或错填均视为未按时缴纳保证金。</w:t>
            </w:r>
          </w:p>
          <w:p>
            <w:pPr>
              <w:spacing w:line="300" w:lineRule="exact"/>
              <w:rPr>
                <w:rFonts w:hint="eastAsia"/>
                <w:color w:val="auto"/>
                <w:highlight w:val="none"/>
              </w:rPr>
            </w:pPr>
            <w:r>
              <w:rPr>
                <w:rFonts w:hint="eastAsia"/>
                <w:color w:val="auto"/>
                <w:highlight w:val="none"/>
              </w:rPr>
              <w:t>2、投标保证金要求单笔付款，并且与“缴纳订单”中的金额一致。未在规定时间内足额到帐的，其投标文件将不予受理。</w:t>
            </w:r>
          </w:p>
          <w:p>
            <w:pPr>
              <w:spacing w:line="300" w:lineRule="exact"/>
              <w:rPr>
                <w:rFonts w:hint="eastAsia"/>
                <w:color w:val="auto"/>
                <w:highlight w:val="none"/>
              </w:rPr>
            </w:pPr>
            <w:r>
              <w:rPr>
                <w:rFonts w:hint="eastAsia"/>
                <w:color w:val="auto"/>
                <w:highlight w:val="none"/>
              </w:rPr>
              <w:t>3、投标保证金未在规定时间内足额到帐的（必须缴纳到上述指定账户）；</w:t>
            </w:r>
          </w:p>
          <w:p>
            <w:pPr>
              <w:spacing w:line="300" w:lineRule="exact"/>
              <w:rPr>
                <w:rFonts w:hint="eastAsia"/>
                <w:color w:val="auto"/>
                <w:highlight w:val="none"/>
              </w:rPr>
            </w:pPr>
            <w:r>
              <w:rPr>
                <w:rFonts w:hint="eastAsia"/>
                <w:color w:val="auto"/>
                <w:highlight w:val="none"/>
              </w:rPr>
              <w:t>4、投标人缴纳的投标保证金存在以下情形之一的；视为未提交投标保证金：①未注明用途或注明错误且投标文件中未附投标保证金用途证明资料的；②未从本单位基本账户汇出。③未附企业基本账户开户许可证及投标保证金缴纳凭证复印件。因未遵照文件规定造成其投标文件无法递交，一切后果由投标人自行承担。</w:t>
            </w:r>
          </w:p>
          <w:p>
            <w:pPr>
              <w:spacing w:line="300" w:lineRule="exact"/>
              <w:rPr>
                <w:rFonts w:hint="eastAsia"/>
                <w:color w:val="auto"/>
                <w:highlight w:val="none"/>
              </w:rPr>
            </w:pPr>
            <w:r>
              <w:rPr>
                <w:rFonts w:hint="eastAsia"/>
                <w:color w:val="auto"/>
                <w:highlight w:val="none"/>
              </w:rPr>
              <w:t>咨询电话：057983180571</w:t>
            </w:r>
          </w:p>
          <w:p>
            <w:pPr>
              <w:spacing w:line="300" w:lineRule="exact"/>
              <w:rPr>
                <w:rFonts w:hint="eastAsia"/>
                <w:color w:val="auto"/>
                <w:highlight w:val="none"/>
              </w:rPr>
            </w:pPr>
            <w:r>
              <w:rPr>
                <w:rFonts w:hint="eastAsia"/>
                <w:color w:val="auto"/>
                <w:highlight w:val="none"/>
              </w:rPr>
              <w:t>开户名称：金华市公共资源交易中心婺城区分中心；</w:t>
            </w:r>
          </w:p>
          <w:p>
            <w:pPr>
              <w:spacing w:line="300" w:lineRule="exact"/>
              <w:rPr>
                <w:rFonts w:hint="eastAsia"/>
                <w:color w:val="auto"/>
                <w:highlight w:val="none"/>
              </w:rPr>
            </w:pPr>
            <w:r>
              <w:rPr>
                <w:rFonts w:hint="eastAsia"/>
                <w:color w:val="auto"/>
                <w:highlight w:val="none"/>
              </w:rPr>
              <w:t>用途：</w:t>
            </w:r>
            <w:r>
              <w:rPr>
                <w:rFonts w:hint="eastAsia"/>
                <w:color w:val="auto"/>
                <w:highlight w:val="none"/>
                <w:u w:val="single"/>
                <w:lang w:val="en-US" w:eastAsia="zh-CN"/>
              </w:rPr>
              <w:t xml:space="preserve">                     </w:t>
            </w:r>
            <w:r>
              <w:rPr>
                <w:rFonts w:hint="eastAsia"/>
                <w:color w:val="auto"/>
                <w:highlight w:val="none"/>
              </w:rPr>
              <w:t>投标保证金（可以简写，但必须体现本工程）</w:t>
            </w:r>
          </w:p>
          <w:p>
            <w:pPr>
              <w:spacing w:line="300" w:lineRule="exact"/>
              <w:rPr>
                <w:rFonts w:hint="eastAsia"/>
                <w:color w:val="auto"/>
                <w:highlight w:val="none"/>
              </w:rPr>
            </w:pPr>
            <w:r>
              <w:rPr>
                <w:rFonts w:hint="eastAsia"/>
                <w:color w:val="auto"/>
                <w:highlight w:val="none"/>
              </w:rPr>
              <w:t>（2）电子保险保单缴纳：</w:t>
            </w:r>
          </w:p>
          <w:p>
            <w:pPr>
              <w:spacing w:line="300" w:lineRule="exact"/>
              <w:rPr>
                <w:rFonts w:hint="eastAsia"/>
                <w:color w:val="auto"/>
                <w:highlight w:val="none"/>
              </w:rPr>
            </w:pPr>
            <w:r>
              <w:rPr>
                <w:rFonts w:hint="eastAsia"/>
                <w:color w:val="auto"/>
                <w:highlight w:val="none"/>
              </w:rPr>
              <w:t>登录“婺城区公共资源全流程电子交易综合系统”，在投标保证金缴纳页面选择需要缴纳保证金的项目（标段） ，点击“电子保单”按钮跳转至电子投保平台并按系统提示完成购买。咨询电话：400-857-6077，操作手册下载网址：  http://www.wuch.gov.cn/col/col1229352409/index.html</w:t>
            </w:r>
          </w:p>
          <w:p>
            <w:pPr>
              <w:spacing w:line="300" w:lineRule="exact"/>
              <w:rPr>
                <w:rFonts w:hint="eastAsia"/>
                <w:color w:val="auto"/>
                <w:highlight w:val="none"/>
              </w:rPr>
            </w:pPr>
            <w:r>
              <w:rPr>
                <w:rFonts w:hint="eastAsia"/>
                <w:color w:val="auto"/>
                <w:highlight w:val="none"/>
              </w:rPr>
              <w:t>注：1、投标人应当以基本账户购买电子保单；2、电子保单的出单时间应当</w:t>
            </w:r>
          </w:p>
          <w:p>
            <w:pPr>
              <w:spacing w:line="300" w:lineRule="exact"/>
              <w:rPr>
                <w:rFonts w:hint="eastAsia"/>
                <w:color w:val="auto"/>
                <w:highlight w:val="none"/>
              </w:rPr>
            </w:pPr>
            <w:r>
              <w:rPr>
                <w:rFonts w:hint="eastAsia"/>
                <w:color w:val="auto"/>
                <w:highlight w:val="none"/>
              </w:rPr>
              <w:t>在投标保证金截止时间之前，逾期视作无效；3、投标人不按照操作手册载明的步骤操作，导致交易系统无法记录保单信息的，造成的后果由投标人自负。因交易系统、投保平台发生故障等非投标人原因导致无法正常投保的，投标人可在投标保证金缴纳截止时间后的一个工作日内到柜台以购买纸质保单方式投保，并在开标当天携带纸质保单至开标现场备查。经查确认纸质保单属实的，仍视为投标保证金缴纳成功。投保专员联系电话： 13173680523。</w:t>
            </w:r>
          </w:p>
          <w:p>
            <w:pPr>
              <w:spacing w:line="300" w:lineRule="exact"/>
              <w:rPr>
                <w:rFonts w:hint="eastAsia"/>
                <w:color w:val="auto"/>
                <w:highlight w:val="none"/>
                <w:lang w:eastAsia="zh-CN"/>
              </w:rPr>
            </w:pPr>
            <w:r>
              <w:rPr>
                <w:rFonts w:hint="eastAsia"/>
                <w:color w:val="auto"/>
                <w:highlight w:val="none"/>
              </w:rPr>
              <w:t>地址：金华市双溪西路 518 号（非工作日正常营业）</w:t>
            </w:r>
            <w:r>
              <w:rPr>
                <w:rFonts w:hint="eastAsia"/>
                <w:color w:val="auto"/>
                <w:highlight w:val="none"/>
                <w:lang w:eastAsia="zh-CN"/>
              </w:rPr>
              <w:t>。</w:t>
            </w:r>
          </w:p>
          <w:p>
            <w:pPr>
              <w:numPr>
                <w:ilvl w:val="0"/>
                <w:numId w:val="1"/>
              </w:numPr>
              <w:spacing w:line="300" w:lineRule="exact"/>
              <w:rPr>
                <w:rFonts w:hint="eastAsia"/>
                <w:color w:val="auto"/>
                <w:highlight w:val="none"/>
                <w:lang w:eastAsia="zh-CN"/>
              </w:rPr>
            </w:pPr>
            <w:r>
              <w:rPr>
                <w:rFonts w:hint="eastAsia"/>
                <w:color w:val="auto"/>
                <w:highlight w:val="none"/>
                <w:lang w:eastAsia="zh-CN"/>
              </w:rPr>
              <w:t>银行保函、融资性担保公司保函缴纳：银行保函、融资性担保公司保函上须明确注明用于本项目投标保证金，保函额度须满足投标保证金额度要求。出具保函的银行需满足以下条件：1、投标人应当以基本账户购买电子保单;2、在招标项目所在地市内的银行或融资性担保公司；3、按规定需要使用保证金时，可立即使用现金支付。4、保函有效期须大于等于投标有效期;5 在开标当天携带纸质保单至开标现场备查,经查确认纸质保单属实的.不符合以上规定仍视为未按要求递交投标保证金。</w:t>
            </w:r>
          </w:p>
          <w:p>
            <w:pPr>
              <w:numPr>
                <w:ilvl w:val="0"/>
                <w:numId w:val="0"/>
              </w:numPr>
              <w:spacing w:line="300" w:lineRule="exact"/>
              <w:rPr>
                <w:rFonts w:hint="eastAsia" w:eastAsia="宋体"/>
                <w:color w:val="auto"/>
                <w:highlight w:val="none"/>
                <w:lang w:eastAsia="zh-CN"/>
              </w:rPr>
            </w:pPr>
            <w:r>
              <w:rPr>
                <w:rFonts w:hint="eastAsia"/>
                <w:color w:val="auto"/>
                <w:highlight w:val="none"/>
                <w:lang w:eastAsia="zh-CN"/>
              </w:rPr>
              <w:t>（4）按年度交纳的。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3.5</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资格审查资料</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本工程采用资格后审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3.6</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是否允许递交备选投标方案</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3.7.1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签字或盖章要求</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按照招标文件及投标文件格式编制要求进行签字、盖章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3.7.2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投标文件副本份数</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正本壹份，副本壹份，中标单位后补叁份副本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4.1.1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封套上写明</w:t>
            </w:r>
          </w:p>
        </w:tc>
        <w:tc>
          <w:tcPr>
            <w:tcW w:w="6007" w:type="dxa"/>
            <w:vAlign w:val="center"/>
          </w:tcPr>
          <w:p>
            <w:pPr>
              <w:spacing w:line="380" w:lineRule="exact"/>
              <w:rPr>
                <w:rFonts w:ascii="宋体" w:hAnsi="宋体"/>
                <w:color w:val="auto"/>
                <w:szCs w:val="21"/>
                <w:highlight w:val="none"/>
                <w:u w:val="single"/>
              </w:rPr>
            </w:pPr>
            <w:r>
              <w:rPr>
                <w:rFonts w:hint="eastAsia"/>
                <w:color w:val="auto"/>
                <w:highlight w:val="none"/>
                <w:lang w:eastAsia="zh-CN"/>
              </w:rPr>
              <w:t>金华市婺城区安居工程城中村改造项目（城西西郊三期）</w:t>
            </w:r>
            <w:r>
              <w:rPr>
                <w:rFonts w:hint="eastAsia"/>
                <w:color w:val="auto"/>
                <w:highlight w:val="none"/>
              </w:rPr>
              <w:t>监理招标技术及资信标（含资格审查资料）/商务标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4.2.2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递交投标文件地点</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金华市公共资源交易中心婺城区分中心（</w:t>
            </w:r>
            <w:r>
              <w:rPr>
                <w:rFonts w:hint="eastAsia" w:ascii="宋体" w:hAnsi="宋体" w:cs="宋体"/>
                <w:color w:val="auto"/>
                <w:kern w:val="0"/>
                <w:szCs w:val="21"/>
                <w:highlight w:val="none"/>
                <w:shd w:val="clear" w:color="auto" w:fill="FFFFFF"/>
              </w:rPr>
              <w:t>婺城区紫金南街369号瑞唐国际附楼3楼开标室</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4.2.3</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是否退还投标文件</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5.1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开标时间和地点</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开标时间：同投标截止时间</w:t>
            </w:r>
          </w:p>
          <w:p>
            <w:pPr>
              <w:spacing w:line="380" w:lineRule="exact"/>
              <w:rPr>
                <w:rFonts w:ascii="宋体" w:hAnsi="宋体"/>
                <w:color w:val="auto"/>
                <w:szCs w:val="21"/>
                <w:highlight w:val="none"/>
              </w:rPr>
            </w:pPr>
            <w:r>
              <w:rPr>
                <w:rFonts w:hint="eastAsia" w:ascii="宋体" w:hAnsi="宋体"/>
                <w:color w:val="auto"/>
                <w:szCs w:val="21"/>
                <w:highlight w:val="none"/>
              </w:rPr>
              <w:t>开标地点: 金华市公共资源交易中心婺城区分中心3楼开标室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5.2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开标程序</w:t>
            </w:r>
          </w:p>
        </w:tc>
        <w:tc>
          <w:tcPr>
            <w:tcW w:w="6007" w:type="dxa"/>
            <w:vAlign w:val="center"/>
          </w:tcPr>
          <w:p>
            <w:pPr>
              <w:spacing w:line="380" w:lineRule="exact"/>
              <w:jc w:val="left"/>
              <w:rPr>
                <w:rFonts w:ascii="宋体" w:hAnsi="宋体"/>
                <w:color w:val="auto"/>
                <w:szCs w:val="21"/>
                <w:highlight w:val="none"/>
              </w:rPr>
            </w:pPr>
            <w:r>
              <w:rPr>
                <w:rFonts w:hint="eastAsia" w:ascii="宋体" w:hAnsi="宋体"/>
                <w:color w:val="auto"/>
                <w:szCs w:val="21"/>
                <w:highlight w:val="none"/>
              </w:rPr>
              <w:t>( 1 )密封情况检查：按须知4.1.1、4.1.2；</w:t>
            </w:r>
          </w:p>
          <w:p>
            <w:pPr>
              <w:spacing w:line="380" w:lineRule="exact"/>
              <w:ind w:left="525" w:hanging="525" w:hangingChars="250"/>
              <w:rPr>
                <w:rFonts w:ascii="宋体" w:hAnsi="宋体"/>
                <w:color w:val="auto"/>
                <w:szCs w:val="21"/>
                <w:highlight w:val="none"/>
              </w:rPr>
            </w:pPr>
            <w:r>
              <w:rPr>
                <w:rFonts w:hint="eastAsia" w:ascii="宋体" w:hAnsi="宋体"/>
                <w:color w:val="auto"/>
                <w:szCs w:val="21"/>
                <w:highlight w:val="none"/>
              </w:rPr>
              <w:t>( 2 )开标顺序：先开技术及资信标（含资格审查资料），</w:t>
            </w:r>
          </w:p>
          <w:p>
            <w:pPr>
              <w:spacing w:line="380" w:lineRule="exact"/>
              <w:ind w:left="525" w:hanging="525" w:hangingChars="250"/>
              <w:rPr>
                <w:rFonts w:ascii="宋体" w:hAnsi="宋体"/>
                <w:color w:val="auto"/>
                <w:szCs w:val="21"/>
                <w:highlight w:val="none"/>
                <w:u w:val="single"/>
              </w:rPr>
            </w:pPr>
            <w:r>
              <w:rPr>
                <w:rFonts w:hint="eastAsia" w:ascii="宋体" w:hAnsi="宋体"/>
                <w:color w:val="auto"/>
                <w:szCs w:val="21"/>
                <w:highlight w:val="none"/>
              </w:rPr>
              <w:t>再开商务标。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6.1.1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评标委员会的组建</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评标委员会由招标人依法组建，共</w:t>
            </w:r>
            <w:r>
              <w:rPr>
                <w:rFonts w:hint="eastAsia" w:ascii="宋体" w:hAnsi="宋体"/>
                <w:color w:val="auto"/>
                <w:szCs w:val="21"/>
                <w:highlight w:val="none"/>
                <w:u w:val="single"/>
              </w:rPr>
              <w:t xml:space="preserve"> 5</w:t>
            </w:r>
            <w:r>
              <w:rPr>
                <w:rFonts w:hint="eastAsia" w:ascii="宋体" w:hAnsi="宋体"/>
                <w:color w:val="auto"/>
                <w:szCs w:val="21"/>
                <w:highlight w:val="none"/>
              </w:rPr>
              <w:t>人。其中招标人代表</w:t>
            </w:r>
            <w:r>
              <w:rPr>
                <w:rFonts w:hint="eastAsia" w:ascii="宋体" w:hAnsi="宋体"/>
                <w:color w:val="auto"/>
                <w:szCs w:val="21"/>
                <w:highlight w:val="none"/>
                <w:u w:val="single"/>
              </w:rPr>
              <w:t xml:space="preserve"> 1 </w:t>
            </w:r>
            <w:r>
              <w:rPr>
                <w:rFonts w:hint="eastAsia" w:ascii="宋体" w:hAnsi="宋体"/>
                <w:color w:val="auto"/>
                <w:szCs w:val="21"/>
                <w:highlight w:val="none"/>
              </w:rPr>
              <w:t>人；从</w:t>
            </w:r>
            <w:r>
              <w:rPr>
                <w:rFonts w:hint="eastAsia" w:ascii="宋体" w:hAnsi="宋体" w:cs="宋体"/>
                <w:color w:val="auto"/>
                <w:szCs w:val="21"/>
                <w:highlight w:val="none"/>
              </w:rPr>
              <w:t>评标</w:t>
            </w:r>
            <w:r>
              <w:rPr>
                <w:rFonts w:hint="eastAsia" w:ascii="宋体" w:hAnsi="宋体"/>
                <w:color w:val="auto"/>
                <w:szCs w:val="21"/>
                <w:highlight w:val="none"/>
              </w:rPr>
              <w:t>专家库中随机抽取专家</w:t>
            </w:r>
            <w:r>
              <w:rPr>
                <w:rFonts w:hint="eastAsia" w:ascii="宋体" w:hAnsi="宋体"/>
                <w:color w:val="auto"/>
                <w:szCs w:val="21"/>
                <w:highlight w:val="none"/>
                <w:u w:val="single"/>
              </w:rPr>
              <w:t xml:space="preserve"> 4</w:t>
            </w:r>
            <w:r>
              <w:rPr>
                <w:rFonts w:hint="eastAsia" w:ascii="宋体" w:hAnsi="宋体"/>
                <w:color w:val="auto"/>
                <w:szCs w:val="21"/>
                <w:highlight w:val="none"/>
              </w:rPr>
              <w:t>人（经济专家</w:t>
            </w:r>
            <w:r>
              <w:rPr>
                <w:rFonts w:hint="eastAsia" w:ascii="宋体" w:hAnsi="宋体"/>
                <w:color w:val="auto"/>
                <w:szCs w:val="21"/>
                <w:highlight w:val="none"/>
                <w:u w:val="single"/>
              </w:rPr>
              <w:t xml:space="preserve"> 1 </w:t>
            </w:r>
            <w:r>
              <w:rPr>
                <w:rFonts w:hint="eastAsia" w:ascii="宋体" w:hAnsi="宋体"/>
                <w:color w:val="auto"/>
                <w:szCs w:val="21"/>
                <w:highlight w:val="none"/>
              </w:rPr>
              <w:t>人，技术专家</w:t>
            </w:r>
            <w:r>
              <w:rPr>
                <w:rFonts w:hint="eastAsia" w:ascii="宋体" w:hAnsi="宋体"/>
                <w:color w:val="auto"/>
                <w:szCs w:val="21"/>
                <w:highlight w:val="none"/>
                <w:u w:val="single"/>
              </w:rPr>
              <w:t>3</w:t>
            </w:r>
            <w:r>
              <w:rPr>
                <w:rFonts w:hint="eastAsia" w:ascii="宋体" w:hAnsi="宋体"/>
                <w:color w:val="auto"/>
                <w:szCs w:val="21"/>
                <w:highlight w:val="none"/>
              </w:rPr>
              <w:t>人,其他专家</w:t>
            </w:r>
            <w:r>
              <w:rPr>
                <w:rFonts w:hint="eastAsia" w:ascii="宋体" w:hAnsi="宋体"/>
                <w:color w:val="auto"/>
                <w:szCs w:val="21"/>
                <w:highlight w:val="none"/>
                <w:u w:val="single"/>
              </w:rPr>
              <w:t xml:space="preserve"> 0 </w:t>
            </w:r>
            <w:r>
              <w:rPr>
                <w:rFonts w:hint="eastAsia" w:ascii="宋体" w:hAnsi="宋体"/>
                <w:color w:val="auto"/>
                <w:szCs w:val="21"/>
                <w:highlight w:val="none"/>
              </w:rPr>
              <w:t>人）。评标委员会设组长1人，主持评标工作，组长由评标委员会成员推举产生（招标人代表不得担任组长）。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7.1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是否授权评标委员会确定中标人</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否，根据得分从高到低依次排名，推荐前一名为中标候选人，确定排名第一中标候选人为拟中标人。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7.3.1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履约保证金</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履约担保的形式：现金转账或银行保函或保险保单（出具保函和保单的银行和保险公司需满足以下条件：1、在金华市的银行和保险公司；2、按规定需要使用保证金时，可立即使用现金支付）。</w:t>
            </w:r>
          </w:p>
          <w:p>
            <w:pPr>
              <w:spacing w:line="300" w:lineRule="exact"/>
              <w:rPr>
                <w:color w:val="auto"/>
                <w:highlight w:val="none"/>
                <w:u w:val="single"/>
              </w:rPr>
            </w:pPr>
            <w:r>
              <w:rPr>
                <w:rFonts w:hint="eastAsia" w:ascii="宋体" w:hAnsi="宋体"/>
                <w:color w:val="auto"/>
                <w:szCs w:val="21"/>
                <w:highlight w:val="none"/>
              </w:rPr>
              <w:t>履约担保的金额：</w:t>
            </w:r>
            <w:r>
              <w:rPr>
                <w:rFonts w:hint="eastAsia" w:ascii="宋体" w:hAnsi="宋体"/>
                <w:color w:val="auto"/>
                <w:szCs w:val="21"/>
                <w:highlight w:val="none"/>
              </w:rPr>
              <w:t>人民币</w:t>
            </w:r>
            <w:r>
              <w:rPr>
                <w:rFonts w:hint="eastAsia" w:ascii="宋体" w:hAnsi="宋体"/>
                <w:color w:val="auto"/>
                <w:szCs w:val="21"/>
                <w:highlight w:val="none"/>
                <w:lang w:eastAsia="zh-CN"/>
              </w:rPr>
              <w:t>捌万</w:t>
            </w:r>
            <w:r>
              <w:rPr>
                <w:rFonts w:hint="eastAsia" w:ascii="宋体" w:hAnsi="宋体"/>
                <w:color w:val="auto"/>
                <w:szCs w:val="21"/>
                <w:highlight w:val="none"/>
              </w:rPr>
              <w:t>元</w:t>
            </w:r>
            <w:r>
              <w:rPr>
                <w:rFonts w:hint="eastAsia" w:ascii="宋体" w:hAnsi="宋体"/>
                <w:color w:val="auto"/>
                <w:szCs w:val="21"/>
                <w:highlight w:val="none"/>
                <w:lang w:eastAsia="zh-CN"/>
              </w:rPr>
              <w:t>整</w:t>
            </w:r>
            <w:r>
              <w:rPr>
                <w:rFonts w:hint="eastAsia" w:ascii="宋体" w:hAnsi="宋体"/>
                <w:color w:val="auto"/>
                <w:szCs w:val="21"/>
                <w:highlight w:val="none"/>
              </w:rPr>
              <w:t>。</w:t>
            </w:r>
          </w:p>
          <w:p>
            <w:pPr>
              <w:spacing w:line="380" w:lineRule="exact"/>
              <w:rPr>
                <w:rFonts w:ascii="宋体" w:hAnsi="宋体"/>
                <w:color w:val="auto"/>
                <w:szCs w:val="21"/>
                <w:highlight w:val="none"/>
              </w:rPr>
            </w:pPr>
            <w:r>
              <w:rPr>
                <w:rFonts w:hint="eastAsia" w:ascii="宋体" w:hAnsi="宋体"/>
                <w:color w:val="auto"/>
                <w:szCs w:val="21"/>
                <w:highlight w:val="none"/>
              </w:rPr>
              <w:t>若采用现金转账，中标公示结束后5日历天内缴纳至招标人指定账户，若采用银行保函或保单，则在中标通知书发放15日历天内，提交符合招标人要求的保函、保单，否则招标人有权取消中标人资格。履约保证金在工程竣工验收合格后，扣除各项违约金一次性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8</w:t>
            </w:r>
          </w:p>
        </w:tc>
        <w:tc>
          <w:tcPr>
            <w:tcW w:w="2993" w:type="dxa"/>
            <w:vAlign w:val="center"/>
          </w:tcPr>
          <w:p>
            <w:pPr>
              <w:tabs>
                <w:tab w:val="left" w:pos="1260"/>
              </w:tabs>
              <w:spacing w:line="380" w:lineRule="exact"/>
              <w:jc w:val="center"/>
              <w:rPr>
                <w:rFonts w:hAnsi="宋体" w:cs="Arial"/>
                <w:color w:val="auto"/>
                <w:szCs w:val="21"/>
                <w:highlight w:val="none"/>
              </w:rPr>
            </w:pPr>
            <w:r>
              <w:rPr>
                <w:rFonts w:hint="eastAsia" w:hAnsi="宋体" w:cs="Arial"/>
                <w:color w:val="auto"/>
                <w:szCs w:val="21"/>
                <w:highlight w:val="none"/>
              </w:rPr>
              <w:t>招标人对入围单位及中标单位的特别要求</w:t>
            </w:r>
          </w:p>
        </w:tc>
        <w:tc>
          <w:tcPr>
            <w:tcW w:w="6007" w:type="dxa"/>
            <w:vAlign w:val="center"/>
          </w:tcPr>
          <w:p>
            <w:pPr>
              <w:tabs>
                <w:tab w:val="left" w:pos="1260"/>
              </w:tabs>
              <w:spacing w:line="380" w:lineRule="exact"/>
              <w:rPr>
                <w:rFonts w:hAnsi="宋体" w:cs="Arial"/>
                <w:color w:val="auto"/>
                <w:szCs w:val="21"/>
                <w:highlight w:val="none"/>
              </w:rPr>
            </w:pPr>
            <w:r>
              <w:rPr>
                <w:rFonts w:hint="eastAsia" w:hAnsi="宋体" w:cs="Arial"/>
                <w:color w:val="auto"/>
                <w:szCs w:val="21"/>
                <w:highlight w:val="none"/>
              </w:rPr>
              <w:t>本项目的项目总监必须是本单位人员，杜绝挂靠投标行为，一旦发现终止合同。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9</w:t>
            </w:r>
          </w:p>
        </w:tc>
        <w:tc>
          <w:tcPr>
            <w:tcW w:w="2993" w:type="dxa"/>
            <w:vAlign w:val="center"/>
          </w:tcPr>
          <w:p>
            <w:pPr>
              <w:tabs>
                <w:tab w:val="left" w:pos="1260"/>
              </w:tabs>
              <w:spacing w:line="380" w:lineRule="exact"/>
              <w:jc w:val="center"/>
              <w:rPr>
                <w:rFonts w:hAnsi="宋体" w:cs="Arial"/>
                <w:color w:val="auto"/>
                <w:szCs w:val="21"/>
                <w:highlight w:val="none"/>
              </w:rPr>
            </w:pPr>
            <w:r>
              <w:rPr>
                <w:rFonts w:hint="eastAsia" w:hAnsi="宋体" w:cs="Arial"/>
                <w:color w:val="auto"/>
                <w:szCs w:val="21"/>
                <w:highlight w:val="none"/>
              </w:rPr>
              <w:t>评标结果公示</w:t>
            </w:r>
          </w:p>
        </w:tc>
        <w:tc>
          <w:tcPr>
            <w:tcW w:w="6007" w:type="dxa"/>
            <w:vAlign w:val="center"/>
          </w:tcPr>
          <w:p>
            <w:pPr>
              <w:spacing w:line="380" w:lineRule="exact"/>
              <w:jc w:val="both"/>
              <w:rPr>
                <w:rFonts w:hAnsi="宋体" w:cs="Arial"/>
                <w:color w:val="auto"/>
                <w:szCs w:val="21"/>
                <w:highlight w:val="none"/>
              </w:rPr>
            </w:pPr>
            <w:r>
              <w:rPr>
                <w:rFonts w:hint="eastAsia" w:hAnsi="宋体" w:cs="Arial"/>
                <w:color w:val="auto"/>
                <w:szCs w:val="21"/>
                <w:highlight w:val="none"/>
              </w:rPr>
              <w:t>金华市婺城区公共资源交易网（</w:t>
            </w:r>
            <w:r>
              <w:rPr>
                <w:color w:val="auto"/>
                <w:szCs w:val="21"/>
                <w:highlight w:val="none"/>
              </w:rPr>
              <w:t>http://www.wcqggzy.com</w:t>
            </w:r>
            <w:r>
              <w:rPr>
                <w:rFonts w:hAnsi="宋体" w:cs="Arial"/>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10</w:t>
            </w:r>
          </w:p>
        </w:tc>
        <w:tc>
          <w:tcPr>
            <w:tcW w:w="9000" w:type="dxa"/>
            <w:gridSpan w:val="2"/>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10.1</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解释权</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10.2</w:t>
            </w:r>
          </w:p>
        </w:tc>
        <w:tc>
          <w:tcPr>
            <w:tcW w:w="2993"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公证机构</w:t>
            </w:r>
          </w:p>
        </w:tc>
        <w:tc>
          <w:tcPr>
            <w:tcW w:w="6007" w:type="dxa"/>
            <w:vAlign w:val="center"/>
          </w:tcPr>
          <w:p>
            <w:pPr>
              <w:spacing w:line="380" w:lineRule="exact"/>
              <w:rPr>
                <w:rFonts w:ascii="宋体" w:hAnsi="宋体"/>
                <w:color w:val="auto"/>
                <w:szCs w:val="21"/>
                <w:highlight w:val="none"/>
              </w:rPr>
            </w:pPr>
            <w:r>
              <w:rPr>
                <w:rFonts w:hint="eastAsia" w:ascii="宋体" w:hAnsi="宋体"/>
                <w:color w:val="auto"/>
                <w:szCs w:val="21"/>
                <w:highlight w:val="none"/>
              </w:rPr>
              <w:t>金华正信公证处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900" w:type="dxa"/>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10.3</w:t>
            </w:r>
          </w:p>
        </w:tc>
        <w:tc>
          <w:tcPr>
            <w:tcW w:w="2993" w:type="dxa"/>
            <w:vAlign w:val="center"/>
          </w:tcPr>
          <w:p>
            <w:pPr>
              <w:spacing w:line="380" w:lineRule="exact"/>
              <w:jc w:val="center"/>
              <w:rPr>
                <w:rFonts w:ascii="宋体" w:hAnsi="宋体"/>
                <w:b/>
                <w:bCs/>
                <w:color w:val="auto"/>
                <w:szCs w:val="21"/>
                <w:highlight w:val="none"/>
              </w:rPr>
            </w:pPr>
            <w:r>
              <w:rPr>
                <w:rFonts w:ascii="宋体" w:hAnsi="宋体"/>
                <w:b/>
                <w:bCs/>
                <w:color w:val="auto"/>
                <w:szCs w:val="21"/>
                <w:highlight w:val="none"/>
              </w:rPr>
              <w:t>自行放弃提疑</w:t>
            </w:r>
          </w:p>
        </w:tc>
        <w:tc>
          <w:tcPr>
            <w:tcW w:w="6007" w:type="dxa"/>
            <w:vAlign w:val="center"/>
          </w:tcPr>
          <w:p>
            <w:pPr>
              <w:spacing w:line="380" w:lineRule="exact"/>
              <w:rPr>
                <w:rFonts w:ascii="宋体" w:hAnsi="宋体"/>
                <w:b/>
                <w:bCs/>
                <w:color w:val="auto"/>
                <w:szCs w:val="21"/>
                <w:highlight w:val="none"/>
              </w:rPr>
            </w:pPr>
            <w:r>
              <w:rPr>
                <w:rFonts w:hint="eastAsia" w:ascii="宋体" w:hAnsi="宋体"/>
                <w:b/>
                <w:bCs/>
                <w:color w:val="auto"/>
                <w:szCs w:val="21"/>
                <w:highlight w:val="none"/>
              </w:rPr>
              <w:t>1.</w:t>
            </w:r>
            <w:r>
              <w:rPr>
                <w:rFonts w:ascii="宋体" w:hAnsi="宋体"/>
                <w:b/>
                <w:bCs/>
                <w:color w:val="auto"/>
                <w:szCs w:val="21"/>
                <w:highlight w:val="none"/>
              </w:rPr>
              <w:t>潜在投标人在提疑截止时间前下载文件的，如对招标文件有</w:t>
            </w:r>
            <w:r>
              <w:rPr>
                <w:rFonts w:hint="eastAsia" w:ascii="宋体" w:hAnsi="宋体"/>
                <w:b/>
                <w:bCs/>
                <w:color w:val="auto"/>
                <w:szCs w:val="21"/>
                <w:highlight w:val="none"/>
              </w:rPr>
              <w:t>疑问</w:t>
            </w:r>
            <w:r>
              <w:rPr>
                <w:rFonts w:ascii="宋体" w:hAnsi="宋体"/>
                <w:b/>
                <w:bCs/>
                <w:color w:val="auto"/>
                <w:szCs w:val="21"/>
                <w:highlight w:val="none"/>
              </w:rPr>
              <w:t>，应按本招标文件规定的时间</w:t>
            </w:r>
            <w:r>
              <w:rPr>
                <w:rFonts w:hint="eastAsia" w:ascii="宋体" w:hAnsi="宋体"/>
                <w:b/>
                <w:bCs/>
                <w:color w:val="auto"/>
                <w:szCs w:val="21"/>
                <w:highlight w:val="none"/>
              </w:rPr>
              <w:t>前登陆“金华市婺城区公共资源交易网”</w:t>
            </w:r>
            <w:r>
              <w:rPr>
                <w:rFonts w:ascii="宋体" w:hAnsi="宋体"/>
                <w:b/>
                <w:bCs/>
                <w:color w:val="auto"/>
                <w:szCs w:val="21"/>
                <w:highlight w:val="none"/>
              </w:rPr>
              <w:t>提出，逾期提出的，招标人及代理机构不予受理、答复；</w:t>
            </w:r>
          </w:p>
          <w:p>
            <w:pPr>
              <w:spacing w:line="380" w:lineRule="exact"/>
              <w:rPr>
                <w:rFonts w:ascii="宋体" w:hAnsi="宋体"/>
                <w:b/>
                <w:bCs/>
                <w:color w:val="auto"/>
                <w:szCs w:val="21"/>
                <w:highlight w:val="none"/>
              </w:rPr>
            </w:pPr>
            <w:r>
              <w:rPr>
                <w:rFonts w:hint="eastAsia" w:ascii="宋体" w:hAnsi="宋体"/>
                <w:b/>
                <w:bCs/>
                <w:color w:val="auto"/>
                <w:szCs w:val="21"/>
                <w:highlight w:val="none"/>
              </w:rPr>
              <w:t>2.</w:t>
            </w:r>
            <w:r>
              <w:rPr>
                <w:rFonts w:ascii="宋体" w:hAnsi="宋体"/>
                <w:b/>
                <w:bCs/>
                <w:color w:val="auto"/>
                <w:szCs w:val="21"/>
                <w:highlight w:val="none"/>
              </w:rPr>
              <w:t>潜在投标人在提疑截止时间后下载文件的，视为自行放弃提疑权力</w:t>
            </w:r>
            <w:r>
              <w:rPr>
                <w:rFonts w:hint="eastAsia" w:ascii="宋体" w:hAnsi="宋体"/>
                <w:b/>
                <w:bCs/>
                <w:color w:val="auto"/>
                <w:szCs w:val="21"/>
                <w:highlight w:val="none"/>
              </w:rPr>
              <w:t>。</w:t>
            </w:r>
          </w:p>
        </w:tc>
      </w:tr>
    </w:tbl>
    <w:p>
      <w:pPr>
        <w:spacing w:line="360" w:lineRule="exact"/>
        <w:jc w:val="left"/>
        <w:rPr>
          <w:rFonts w:ascii="宋体" w:hAnsi="宋体"/>
          <w:color w:val="auto"/>
          <w:szCs w:val="21"/>
          <w:highlight w:val="none"/>
        </w:rPr>
        <w:sectPr>
          <w:footerReference r:id="rId3" w:type="default"/>
          <w:footerReference r:id="rId4" w:type="even"/>
          <w:pgSz w:w="11906" w:h="16838"/>
          <w:pgMar w:top="1418" w:right="1134" w:bottom="1418" w:left="1134" w:header="851" w:footer="992" w:gutter="0"/>
          <w:pgNumType w:start="0"/>
          <w:cols w:space="720" w:num="1"/>
          <w:titlePg/>
          <w:docGrid w:type="lines" w:linePitch="312" w:charSpace="0"/>
        </w:sectPr>
      </w:pPr>
    </w:p>
    <w:p>
      <w:pPr>
        <w:pStyle w:val="6"/>
        <w:spacing w:line="360" w:lineRule="exact"/>
        <w:rPr>
          <w:color w:val="auto"/>
          <w:highlight w:val="none"/>
        </w:rPr>
      </w:pPr>
      <w:bookmarkStart w:id="5" w:name="_Toc403986547"/>
      <w:r>
        <w:rPr>
          <w:rFonts w:hint="eastAsia"/>
          <w:color w:val="auto"/>
          <w:highlight w:val="none"/>
        </w:rPr>
        <w:t>1 ．总则</w:t>
      </w:r>
      <w:bookmarkEnd w:id="5"/>
    </w:p>
    <w:p>
      <w:pPr>
        <w:pStyle w:val="7"/>
        <w:spacing w:line="360" w:lineRule="exact"/>
        <w:rPr>
          <w:color w:val="auto"/>
          <w:highlight w:val="none"/>
        </w:rPr>
      </w:pPr>
      <w:r>
        <w:rPr>
          <w:rFonts w:hint="eastAsia"/>
          <w:color w:val="auto"/>
          <w:highlight w:val="none"/>
        </w:rPr>
        <w:t>1.1 项目概况</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1.1.1 根据《 中华人民共和国招标投标法》 等有关法律、法规和规章的规定，本招标项目己具备招标条件，现对本标段监理进行招标。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1.1.2 本招标项目招标人：见投标人须知前附表。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1.1.3 本标段招标代理机构：见投标人须知前附表。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1.1.4 本招标项目名称：见投标人须知前附表。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1.1.5 本标段建设地点：见投标人须知前附表。</w:t>
      </w:r>
    </w:p>
    <w:p>
      <w:pPr>
        <w:pStyle w:val="7"/>
        <w:spacing w:line="360" w:lineRule="exact"/>
        <w:rPr>
          <w:color w:val="auto"/>
          <w:highlight w:val="none"/>
        </w:rPr>
      </w:pPr>
      <w:r>
        <w:rPr>
          <w:rFonts w:hint="eastAsia"/>
          <w:color w:val="auto"/>
          <w:highlight w:val="none"/>
        </w:rPr>
        <w:t>1.2 资金来源和落实情况</w:t>
      </w:r>
    </w:p>
    <w:p>
      <w:pPr>
        <w:spacing w:line="340" w:lineRule="exact"/>
        <w:ind w:firstLine="420" w:firstLineChars="200"/>
        <w:rPr>
          <w:rFonts w:ascii="宋体" w:hAnsi="宋体"/>
          <w:color w:val="auto"/>
          <w:highlight w:val="none"/>
        </w:rPr>
      </w:pPr>
      <w:r>
        <w:rPr>
          <w:rFonts w:hint="eastAsia" w:ascii="宋体" w:hAnsi="宋体"/>
          <w:color w:val="auto"/>
          <w:highlight w:val="none"/>
        </w:rPr>
        <w:t>1.2.1 本招标项目的资金来源：见投标人须知前附表。</w:t>
      </w:r>
    </w:p>
    <w:p>
      <w:pPr>
        <w:spacing w:line="340" w:lineRule="exact"/>
        <w:ind w:firstLine="420" w:firstLineChars="200"/>
        <w:rPr>
          <w:rFonts w:ascii="宋体" w:hAnsi="宋体"/>
          <w:color w:val="auto"/>
          <w:highlight w:val="none"/>
        </w:rPr>
      </w:pPr>
      <w:r>
        <w:rPr>
          <w:rFonts w:hint="eastAsia" w:ascii="宋体" w:hAnsi="宋体"/>
          <w:color w:val="auto"/>
          <w:highlight w:val="none"/>
        </w:rPr>
        <w:t>1.2.2 本招标项目的出资比例：见投标人须知前附表。</w:t>
      </w:r>
    </w:p>
    <w:p>
      <w:pPr>
        <w:spacing w:line="340" w:lineRule="exact"/>
        <w:ind w:firstLine="420" w:firstLineChars="200"/>
        <w:rPr>
          <w:rFonts w:ascii="宋体" w:hAnsi="宋体"/>
          <w:color w:val="auto"/>
          <w:highlight w:val="none"/>
        </w:rPr>
      </w:pPr>
      <w:r>
        <w:rPr>
          <w:rFonts w:hint="eastAsia" w:ascii="宋体" w:hAnsi="宋体"/>
          <w:color w:val="auto"/>
          <w:highlight w:val="none"/>
        </w:rPr>
        <w:t>1.2.3 本招标项目的资金落实情况：见投标人须知前附表。</w:t>
      </w:r>
    </w:p>
    <w:p>
      <w:pPr>
        <w:pStyle w:val="7"/>
        <w:spacing w:line="360" w:lineRule="exact"/>
        <w:rPr>
          <w:color w:val="auto"/>
          <w:highlight w:val="none"/>
        </w:rPr>
      </w:pPr>
      <w:r>
        <w:rPr>
          <w:rFonts w:hint="eastAsia"/>
          <w:color w:val="auto"/>
          <w:highlight w:val="none"/>
        </w:rPr>
        <w:t>1.3 招标范围、计划监理服务期、质量要求和监理服务内容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1.3.1 本次招标范围：见投标人须知前附表。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1.3.2 本标段的监理服务期：见投标人须知前附表。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1.3.3 本标段的质量要求：见投标人须知前附表。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1.3.4 监理服务范围及内容：见投标人须知前附表。</w:t>
      </w:r>
    </w:p>
    <w:p>
      <w:pPr>
        <w:pStyle w:val="7"/>
        <w:spacing w:line="360" w:lineRule="exact"/>
        <w:rPr>
          <w:color w:val="auto"/>
          <w:highlight w:val="none"/>
        </w:rPr>
      </w:pPr>
      <w:r>
        <w:rPr>
          <w:rFonts w:hint="eastAsia"/>
          <w:color w:val="auto"/>
          <w:highlight w:val="none"/>
        </w:rPr>
        <w:t>1.4 投标人资格要求</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1.4.1 投标人应具备承担本</w:t>
      </w:r>
      <w:r>
        <w:rPr>
          <w:rFonts w:hint="eastAsia" w:ascii="宋体" w:hAnsi="宋体"/>
          <w:color w:val="auto"/>
          <w:szCs w:val="21"/>
          <w:highlight w:val="none"/>
        </w:rPr>
        <w:t>工程</w:t>
      </w:r>
      <w:r>
        <w:rPr>
          <w:rFonts w:ascii="宋体" w:hAnsi="宋体"/>
          <w:color w:val="auto"/>
          <w:szCs w:val="21"/>
          <w:highlight w:val="none"/>
        </w:rPr>
        <w:t>施工监理的资质条件、能力和信誉。</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资质条件：见投标人须知前附表；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总监资格：见投标人须知前附表；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其他要求：见投标人须知前附表。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1.4.2 本工程不接受联合体。</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1.4.</w:t>
      </w:r>
      <w:r>
        <w:rPr>
          <w:rFonts w:hint="eastAsia" w:ascii="宋体" w:hAnsi="宋体"/>
          <w:color w:val="auto"/>
          <w:szCs w:val="21"/>
          <w:highlight w:val="none"/>
        </w:rPr>
        <w:t>3</w:t>
      </w:r>
      <w:r>
        <w:rPr>
          <w:rFonts w:ascii="宋体" w:hAnsi="宋体"/>
          <w:color w:val="auto"/>
          <w:szCs w:val="21"/>
          <w:highlight w:val="none"/>
        </w:rPr>
        <w:t>投标人不得存在下列情形之一：</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为招标人不具有独立法人资格的附属机构（单位）；</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为本项目前期准备提供设计或咨询服务(单位)；</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为本项目的施工承包人；</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为本项目的代建人；</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为本项目提供招标代理服务</w:t>
      </w:r>
      <w:r>
        <w:rPr>
          <w:rFonts w:hint="eastAsia" w:ascii="宋体" w:hAnsi="宋体"/>
          <w:color w:val="auto"/>
          <w:szCs w:val="21"/>
          <w:highlight w:val="none"/>
        </w:rPr>
        <w:t>或全过程造价控制</w:t>
      </w:r>
      <w:r>
        <w:rPr>
          <w:rFonts w:ascii="宋体" w:hAnsi="宋体"/>
          <w:color w:val="auto"/>
          <w:szCs w:val="21"/>
          <w:highlight w:val="none"/>
        </w:rPr>
        <w:t>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与本项目的施工人或代建人或招标代理机构同为一个法定代表人的；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与本项目的施工人或代建人或招标代理机构相互控股或参股的；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与本项目的施工人或代建人或招标代理机构相互任职或工作的；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被责令停业的；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（10）</w:t>
      </w:r>
      <w:r>
        <w:rPr>
          <w:rFonts w:ascii="宋体" w:hAnsi="宋体"/>
          <w:color w:val="auto"/>
          <w:szCs w:val="21"/>
          <w:highlight w:val="none"/>
        </w:rPr>
        <w:t>被暂停或取消投标资格的；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w:t>
      </w:r>
      <w:r>
        <w:rPr>
          <w:rFonts w:ascii="宋体" w:hAnsi="宋体"/>
          <w:color w:val="auto"/>
          <w:szCs w:val="21"/>
          <w:highlight w:val="none"/>
        </w:rPr>
        <w:t>财产被接管或冻结的；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（12）本次招标投标过程中，提供的资料、承诺等造假的</w:t>
      </w:r>
      <w:r>
        <w:rPr>
          <w:rFonts w:ascii="宋体" w:hAnsi="宋体"/>
          <w:color w:val="auto"/>
          <w:szCs w:val="21"/>
          <w:highlight w:val="none"/>
        </w:rPr>
        <w:t>。</w:t>
      </w:r>
    </w:p>
    <w:p>
      <w:pPr>
        <w:pStyle w:val="7"/>
        <w:tabs>
          <w:tab w:val="left" w:pos="5805"/>
        </w:tabs>
        <w:spacing w:line="360" w:lineRule="exact"/>
        <w:rPr>
          <w:color w:val="auto"/>
          <w:highlight w:val="none"/>
        </w:rPr>
      </w:pPr>
      <w:r>
        <w:rPr>
          <w:rFonts w:hint="eastAsia"/>
          <w:color w:val="auto"/>
          <w:highlight w:val="none"/>
        </w:rPr>
        <w:t>1.5 费用承担</w:t>
      </w:r>
    </w:p>
    <w:p>
      <w:pPr>
        <w:spacing w:line="360" w:lineRule="exact"/>
        <w:ind w:firstLine="420" w:firstLineChars="200"/>
        <w:rPr>
          <w:color w:val="auto"/>
          <w:highlight w:val="none"/>
        </w:rPr>
      </w:pPr>
      <w:r>
        <w:rPr>
          <w:rFonts w:hint="eastAsia" w:ascii="宋体" w:hAnsi="宋体"/>
          <w:color w:val="auto"/>
          <w:szCs w:val="21"/>
          <w:highlight w:val="none"/>
        </w:rPr>
        <w:t xml:space="preserve">1.5.1 </w:t>
      </w:r>
      <w:r>
        <w:rPr>
          <w:rFonts w:hint="eastAsia"/>
          <w:color w:val="auto"/>
          <w:highlight w:val="none"/>
        </w:rPr>
        <w:t>投标人对参加本工程投标活动所涉及的一切费用均自行承担，不管投标结果如何，招标人对上述费用不负任何责任。投标人的投标书一律不退还，请各投标人自留备考。</w:t>
      </w:r>
    </w:p>
    <w:p>
      <w:pPr>
        <w:ind w:firstLine="420" w:firstLineChars="200"/>
        <w:rPr>
          <w:rFonts w:ascii="宋体" w:hAnsi="宋体"/>
          <w:b/>
          <w:color w:val="auto"/>
          <w:szCs w:val="21"/>
          <w:highlight w:val="none"/>
        </w:rPr>
      </w:pPr>
      <w:r>
        <w:rPr>
          <w:rFonts w:hint="eastAsia" w:ascii="宋体" w:hAnsi="宋体"/>
          <w:color w:val="auto"/>
          <w:szCs w:val="21"/>
          <w:highlight w:val="none"/>
        </w:rPr>
        <w:t>1.5.2</w:t>
      </w:r>
      <w:r>
        <w:rPr>
          <w:rFonts w:hint="eastAsia" w:ascii="宋体" w:hAnsi="宋体"/>
          <w:b/>
          <w:color w:val="auto"/>
          <w:szCs w:val="21"/>
          <w:highlight w:val="none"/>
        </w:rPr>
        <w:t>招标文件每套售价人民</w:t>
      </w:r>
      <w:r>
        <w:rPr>
          <w:rFonts w:hint="eastAsia" w:ascii="宋体" w:hAnsi="宋体"/>
          <w:b/>
          <w:color w:val="auto"/>
          <w:szCs w:val="21"/>
          <w:highlight w:val="none"/>
          <w:lang w:val="en-US" w:eastAsia="zh-CN"/>
        </w:rPr>
        <w:t>300</w:t>
      </w:r>
      <w:r>
        <w:rPr>
          <w:rFonts w:hint="eastAsia" w:ascii="宋体" w:hAnsi="宋体"/>
          <w:b/>
          <w:color w:val="auto"/>
          <w:szCs w:val="21"/>
          <w:highlight w:val="none"/>
        </w:rPr>
        <w:t>元，售后不退。</w:t>
      </w:r>
    </w:p>
    <w:p>
      <w:pPr>
        <w:ind w:firstLine="422" w:firstLineChars="200"/>
        <w:rPr>
          <w:rFonts w:ascii="宋体" w:hAnsi="宋体"/>
          <w:color w:val="auto"/>
          <w:szCs w:val="21"/>
          <w:highlight w:val="none"/>
        </w:rPr>
      </w:pPr>
      <w:r>
        <w:rPr>
          <w:rFonts w:hint="eastAsia" w:ascii="宋体" w:hAnsi="宋体"/>
          <w:b/>
          <w:color w:val="auto"/>
          <w:szCs w:val="21"/>
          <w:highlight w:val="none"/>
        </w:rPr>
        <w:t>1.5.3本项目的公证费由中标单位支付。</w:t>
      </w:r>
    </w:p>
    <w:p>
      <w:pPr>
        <w:pStyle w:val="7"/>
        <w:spacing w:line="360" w:lineRule="exact"/>
        <w:rPr>
          <w:color w:val="auto"/>
          <w:highlight w:val="none"/>
        </w:rPr>
      </w:pPr>
      <w:r>
        <w:rPr>
          <w:rFonts w:hint="eastAsia"/>
          <w:color w:val="auto"/>
          <w:highlight w:val="none"/>
        </w:rPr>
        <w:t>1.6 保密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参与招标投标活动的各方应对招标文件和投标文件中的商业和技术等秘密保密，违者应对由此造成的后果承担法律责任。</w:t>
      </w:r>
    </w:p>
    <w:p>
      <w:pPr>
        <w:pStyle w:val="7"/>
        <w:spacing w:line="360" w:lineRule="exact"/>
        <w:rPr>
          <w:color w:val="auto"/>
          <w:highlight w:val="none"/>
        </w:rPr>
      </w:pPr>
      <w:r>
        <w:rPr>
          <w:rFonts w:hint="eastAsia"/>
          <w:color w:val="auto"/>
          <w:highlight w:val="none"/>
        </w:rPr>
        <w:t>1.7 语言文字</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除专用术语外，与招标投标有关的语言均使用中文。必要时专用术语应附有中文注释。</w:t>
      </w:r>
    </w:p>
    <w:p>
      <w:pPr>
        <w:pStyle w:val="7"/>
        <w:spacing w:line="360" w:lineRule="exact"/>
        <w:rPr>
          <w:color w:val="auto"/>
          <w:highlight w:val="none"/>
        </w:rPr>
      </w:pPr>
      <w:r>
        <w:rPr>
          <w:rFonts w:hint="eastAsia"/>
          <w:color w:val="auto"/>
          <w:highlight w:val="none"/>
        </w:rPr>
        <w:t>1.8 计量单位</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所有计量均采用中华人民共和国法定计量单位。</w:t>
      </w:r>
    </w:p>
    <w:p>
      <w:pPr>
        <w:pStyle w:val="7"/>
        <w:spacing w:line="360" w:lineRule="exact"/>
        <w:rPr>
          <w:color w:val="auto"/>
          <w:highlight w:val="none"/>
        </w:rPr>
      </w:pPr>
      <w:r>
        <w:rPr>
          <w:rFonts w:hint="eastAsia"/>
          <w:color w:val="auto"/>
          <w:highlight w:val="none"/>
        </w:rPr>
        <w:t>1.9 踏勘现场</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1.9.1本工程不组织踏勘现场，由投标人自行前往。</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1.9.2 投标人踏勘现场发生的费用自理。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1.9.3 除招标人的原因外，投标人自行负责在踏勘现场中所发生的人员伤亡和财产损失。</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1.9.4 招标人在踏勘现场中介绍的工程场地和相关的周边环境情况，供投标人在编制投标文件时参考，招标人不对投标人据此作出的判断和决策负责。</w:t>
      </w:r>
    </w:p>
    <w:p>
      <w:pPr>
        <w:pStyle w:val="7"/>
        <w:spacing w:line="360" w:lineRule="exact"/>
        <w:rPr>
          <w:color w:val="auto"/>
          <w:highlight w:val="none"/>
        </w:rPr>
      </w:pPr>
      <w:r>
        <w:rPr>
          <w:rFonts w:hint="eastAsia"/>
          <w:color w:val="auto"/>
          <w:highlight w:val="none"/>
        </w:rPr>
        <w:t>1.10 投标预备会</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1.10.1不组织。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如有疑问，请在投标须知前附表中规定时间</w:t>
      </w:r>
      <w:r>
        <w:rPr>
          <w:rFonts w:hint="eastAsia" w:ascii="Arial" w:hAnsi="Arial"/>
          <w:bCs/>
          <w:color w:val="auto"/>
          <w:szCs w:val="28"/>
          <w:highlight w:val="none"/>
        </w:rPr>
        <w:t>前</w:t>
      </w:r>
      <w:r>
        <w:rPr>
          <w:rFonts w:hint="eastAsia" w:ascii="宋体" w:hAnsi="宋体"/>
          <w:color w:val="auto"/>
          <w:szCs w:val="21"/>
          <w:highlight w:val="none"/>
        </w:rPr>
        <w:t>登陆“金华市婺城区公共资源交易网”</w:t>
      </w:r>
      <w:r>
        <w:rPr>
          <w:rFonts w:ascii="宋体" w:hAnsi="宋体"/>
          <w:color w:val="auto"/>
          <w:szCs w:val="21"/>
          <w:highlight w:val="none"/>
        </w:rPr>
        <w:t>提出</w:t>
      </w:r>
      <w:r>
        <w:rPr>
          <w:rFonts w:hint="eastAsia" w:ascii="宋体" w:hAnsi="宋体"/>
          <w:color w:val="auto"/>
          <w:szCs w:val="21"/>
          <w:highlight w:val="none"/>
        </w:rPr>
        <w:t>，</w:t>
      </w:r>
      <w:r>
        <w:rPr>
          <w:rFonts w:hint="eastAsia" w:ascii="Arial" w:hAnsi="Arial"/>
          <w:bCs/>
          <w:color w:val="auto"/>
          <w:szCs w:val="28"/>
          <w:highlight w:val="none"/>
        </w:rPr>
        <w:t>逾期不得再对招标文件的条款提出质疑，并视为无异议。</w:t>
      </w:r>
    </w:p>
    <w:p>
      <w:pPr>
        <w:pStyle w:val="7"/>
        <w:spacing w:line="360" w:lineRule="exact"/>
        <w:rPr>
          <w:color w:val="auto"/>
          <w:highlight w:val="none"/>
        </w:rPr>
      </w:pPr>
      <w:r>
        <w:rPr>
          <w:rFonts w:hint="eastAsia"/>
          <w:color w:val="auto"/>
          <w:highlight w:val="none"/>
        </w:rPr>
        <w:t>1.11 分包</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不允许分包</w:t>
      </w:r>
    </w:p>
    <w:p>
      <w:pPr>
        <w:pStyle w:val="7"/>
        <w:spacing w:line="360" w:lineRule="exact"/>
        <w:rPr>
          <w:color w:val="auto"/>
          <w:highlight w:val="none"/>
        </w:rPr>
      </w:pPr>
      <w:r>
        <w:rPr>
          <w:rFonts w:hint="eastAsia"/>
          <w:color w:val="auto"/>
          <w:highlight w:val="none"/>
        </w:rPr>
        <w:t>1.12 偏离</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不允许偏离</w:t>
      </w:r>
    </w:p>
    <w:p>
      <w:pPr>
        <w:pStyle w:val="6"/>
        <w:spacing w:line="360" w:lineRule="exact"/>
        <w:rPr>
          <w:color w:val="auto"/>
          <w:highlight w:val="none"/>
        </w:rPr>
      </w:pPr>
      <w:bookmarkStart w:id="6" w:name="_Toc403986548"/>
      <w:r>
        <w:rPr>
          <w:rFonts w:hint="eastAsia"/>
          <w:color w:val="auto"/>
          <w:highlight w:val="none"/>
        </w:rPr>
        <w:t>2．招标文件</w:t>
      </w:r>
      <w:bookmarkEnd w:id="6"/>
    </w:p>
    <w:p>
      <w:pPr>
        <w:pStyle w:val="7"/>
        <w:spacing w:line="360" w:lineRule="exact"/>
        <w:rPr>
          <w:color w:val="auto"/>
          <w:highlight w:val="none"/>
        </w:rPr>
      </w:pPr>
      <w:r>
        <w:rPr>
          <w:rFonts w:hint="eastAsia"/>
          <w:color w:val="auto"/>
          <w:highlight w:val="none"/>
        </w:rPr>
        <w:t>2.1 招标文件的组成</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本招标文件包括：</w:t>
      </w:r>
    </w:p>
    <w:p>
      <w:pPr>
        <w:tabs>
          <w:tab w:val="left" w:pos="4545"/>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(1）招标公告；</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(2）投标人须知；</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(3）评标办法；</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(4）合同条款及格式；</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（5）投标文件格式；</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（6）投标人须知前附表规定的其他材料。</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根据本章第1.10 款、第2.2 款和第2.3 款对招标文件所作的澄清、修改，构成招标文件的组成部分。</w:t>
      </w:r>
    </w:p>
    <w:p>
      <w:pPr>
        <w:pStyle w:val="7"/>
        <w:spacing w:line="360" w:lineRule="exact"/>
        <w:rPr>
          <w:color w:val="auto"/>
          <w:highlight w:val="none"/>
        </w:rPr>
      </w:pPr>
      <w:r>
        <w:rPr>
          <w:rFonts w:hint="eastAsia"/>
          <w:color w:val="auto"/>
          <w:highlight w:val="none"/>
        </w:rPr>
        <w:t>2.2 招标文件的澄清</w:t>
      </w:r>
    </w:p>
    <w:p>
      <w:pPr>
        <w:spacing w:line="360" w:lineRule="auto"/>
        <w:ind w:firstLine="420" w:firstLineChars="200"/>
        <w:rPr>
          <w:rFonts w:ascii="宋体" w:hAnsi="宋体"/>
          <w:color w:val="auto"/>
          <w:szCs w:val="21"/>
          <w:highlight w:val="none"/>
        </w:rPr>
      </w:pPr>
      <w:bookmarkStart w:id="7" w:name="_Toc403986549"/>
      <w:r>
        <w:rPr>
          <w:rFonts w:hint="eastAsia" w:ascii="宋体" w:hAnsi="宋体"/>
          <w:color w:val="auto"/>
          <w:szCs w:val="21"/>
          <w:highlight w:val="none"/>
        </w:rPr>
        <w:t>2.2.1 投标人应仔细阅读和检查招标文件的全部内容。如发现缺页或附件不全，应及时向招标人提出，以便补齐。如有疑问，应在投标人须知前附表规定的时间前</w:t>
      </w:r>
      <w:permStart w:id="0" w:edGrp="everyone"/>
      <w:r>
        <w:rPr>
          <w:rFonts w:hint="eastAsia" w:ascii="宋体" w:hAnsi="宋体"/>
          <w:color w:val="auto"/>
          <w:szCs w:val="21"/>
          <w:highlight w:val="none"/>
        </w:rPr>
        <w:t>登陆“金华市婺城区公共资源交易网建设工程”提出</w:t>
      </w:r>
      <w:r>
        <w:rPr>
          <w:rFonts w:hint="eastAsia" w:ascii="宋体" w:hAnsi="宋体"/>
          <w:color w:val="auto"/>
          <w:szCs w:val="21"/>
          <w:highlight w:val="none"/>
          <w:u w:val="single"/>
        </w:rPr>
        <w:t xml:space="preserve"> </w:t>
      </w:r>
      <w:permEnd w:id="0"/>
      <w:r>
        <w:rPr>
          <w:rFonts w:hint="eastAsia" w:ascii="宋体" w:hAnsi="宋体"/>
          <w:color w:val="auto"/>
          <w:szCs w:val="21"/>
          <w:highlight w:val="none"/>
        </w:rPr>
        <w:t>，要求招标人对招标文件予以澄清。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w:t>
      </w:r>
      <w:r>
        <w:rPr>
          <w:rFonts w:hint="eastAsia" w:ascii="宋体" w:cs="宋体"/>
          <w:color w:val="auto"/>
          <w:kern w:val="0"/>
          <w:szCs w:val="21"/>
          <w:highlight w:val="none"/>
        </w:rPr>
        <w:t>招标文件的澄清将在投标人须知前附表规定的投标截止时间</w:t>
      </w:r>
      <w:r>
        <w:rPr>
          <w:rFonts w:hint="eastAsia" w:ascii="宋体" w:hAnsi="宋体" w:cs="宋体"/>
          <w:color w:val="auto"/>
          <w:kern w:val="0"/>
          <w:szCs w:val="21"/>
          <w:highlight w:val="none"/>
          <w:u w:val="single"/>
        </w:rPr>
        <w:t>15</w:t>
      </w:r>
      <w:r>
        <w:rPr>
          <w:rFonts w:hint="eastAsia" w:ascii="宋体" w:cs="宋体"/>
          <w:color w:val="auto"/>
          <w:kern w:val="0"/>
          <w:szCs w:val="21"/>
          <w:highlight w:val="none"/>
        </w:rPr>
        <w:t>天前提交至</w:t>
      </w:r>
      <w:r>
        <w:rPr>
          <w:rFonts w:hint="eastAsia" w:ascii="宋体" w:hAnsi="宋体"/>
          <w:color w:val="auto"/>
          <w:szCs w:val="21"/>
          <w:highlight w:val="none"/>
        </w:rPr>
        <w:t>金华市婺城区公共资源交易网</w:t>
      </w:r>
      <w:r>
        <w:rPr>
          <w:rFonts w:hint="eastAsia" w:ascii="宋体" w:cs="宋体"/>
          <w:color w:val="auto"/>
          <w:kern w:val="0"/>
          <w:szCs w:val="21"/>
          <w:highlight w:val="none"/>
        </w:rPr>
        <w:t>建设工程</w:t>
      </w:r>
      <w:r>
        <w:rPr>
          <w:rFonts w:ascii="宋体" w:hAnsi="宋体" w:cs="宋体"/>
          <w:color w:val="auto"/>
          <w:kern w:val="0"/>
          <w:szCs w:val="21"/>
          <w:highlight w:val="none"/>
        </w:rPr>
        <w:t>——</w:t>
      </w:r>
      <w:r>
        <w:rPr>
          <w:rFonts w:hint="eastAsia" w:ascii="宋体" w:cs="宋体"/>
          <w:color w:val="auto"/>
          <w:kern w:val="0"/>
          <w:szCs w:val="21"/>
          <w:highlight w:val="none"/>
        </w:rPr>
        <w:t>补充文件，但不指明澄清问题的来源。如果澄清发出的时间距投标截止时间不足</w:t>
      </w:r>
      <w:r>
        <w:rPr>
          <w:rFonts w:hint="eastAsia" w:ascii="宋体" w:hAnsi="宋体" w:cs="宋体"/>
          <w:color w:val="auto"/>
          <w:kern w:val="0"/>
          <w:szCs w:val="21"/>
          <w:highlight w:val="none"/>
          <w:u w:val="single"/>
        </w:rPr>
        <w:t>15</w:t>
      </w:r>
      <w:r>
        <w:rPr>
          <w:rFonts w:hint="eastAsia" w:ascii="宋体" w:cs="宋体"/>
          <w:color w:val="auto"/>
          <w:kern w:val="0"/>
          <w:szCs w:val="21"/>
          <w:highlight w:val="none"/>
        </w:rPr>
        <w:t>天，相应延长投标截止时间</w:t>
      </w:r>
      <w:r>
        <w:rPr>
          <w:rFonts w:hint="eastAsia" w:ascii="宋体" w:hAnsi="宋体"/>
          <w:color w:val="auto"/>
          <w:szCs w:val="21"/>
          <w:highlight w:val="none"/>
        </w:rPr>
        <w:t>。</w:t>
      </w:r>
    </w:p>
    <w:p>
      <w:pPr>
        <w:spacing w:line="360" w:lineRule="exact"/>
        <w:ind w:firstLine="420" w:firstLineChars="200"/>
        <w:rPr>
          <w:color w:val="auto"/>
          <w:highlight w:val="none"/>
        </w:rPr>
      </w:pPr>
      <w:r>
        <w:rPr>
          <w:rFonts w:hint="eastAsia" w:ascii="宋体" w:hAnsi="宋体"/>
          <w:color w:val="auto"/>
          <w:szCs w:val="21"/>
          <w:highlight w:val="none"/>
        </w:rPr>
        <w:t>2.2.3 投标人在</w:t>
      </w:r>
      <w:permStart w:id="1" w:edGrp="everyone"/>
      <w:r>
        <w:rPr>
          <w:rFonts w:hint="eastAsia" w:ascii="宋体" w:hAnsi="宋体"/>
          <w:color w:val="auto"/>
          <w:szCs w:val="21"/>
          <w:highlight w:val="none"/>
          <w:u w:val="single"/>
        </w:rPr>
        <w:t>开标前应该及时关注招标人在网上发出的澄清</w:t>
      </w:r>
      <w:permEnd w:id="1"/>
      <w:r>
        <w:rPr>
          <w:rFonts w:hint="eastAsia" w:ascii="宋体" w:hAnsi="宋体"/>
          <w:color w:val="auto"/>
          <w:szCs w:val="21"/>
          <w:highlight w:val="none"/>
        </w:rPr>
        <w:t>。</w:t>
      </w:r>
    </w:p>
    <w:p>
      <w:pPr>
        <w:pStyle w:val="7"/>
        <w:rPr>
          <w:color w:val="auto"/>
          <w:highlight w:val="none"/>
        </w:rPr>
      </w:pPr>
      <w:r>
        <w:rPr>
          <w:rFonts w:hint="eastAsia"/>
          <w:color w:val="auto"/>
          <w:highlight w:val="none"/>
        </w:rPr>
        <w:t>2.3 招标文件的修改</w:t>
      </w:r>
    </w:p>
    <w:p>
      <w:pPr>
        <w:spacing w:line="360" w:lineRule="auto"/>
        <w:ind w:firstLine="420" w:firstLineChars="200"/>
        <w:rPr>
          <w:rFonts w:hAnsi="宋体"/>
          <w:color w:val="auto"/>
          <w:szCs w:val="21"/>
          <w:highlight w:val="none"/>
        </w:rPr>
      </w:pPr>
      <w:r>
        <w:rPr>
          <w:rFonts w:hint="eastAsia" w:ascii="宋体" w:hAnsi="宋体"/>
          <w:color w:val="auto"/>
          <w:szCs w:val="21"/>
          <w:highlight w:val="none"/>
        </w:rPr>
        <w:t>2.2.1</w:t>
      </w:r>
      <w:r>
        <w:rPr>
          <w:rFonts w:hint="eastAsia"/>
          <w:color w:val="auto"/>
          <w:szCs w:val="21"/>
          <w:highlight w:val="none"/>
        </w:rPr>
        <w:t>招标文件的修改</w:t>
      </w:r>
      <w:r>
        <w:rPr>
          <w:rFonts w:hint="eastAsia"/>
          <w:color w:val="auto"/>
          <w:szCs w:val="21"/>
          <w:highlight w:val="none"/>
          <w:u w:val="single"/>
        </w:rPr>
        <w:t>15</w:t>
      </w:r>
      <w:r>
        <w:rPr>
          <w:rFonts w:hint="eastAsia" w:hAnsi="宋体"/>
          <w:color w:val="auto"/>
          <w:szCs w:val="21"/>
          <w:highlight w:val="none"/>
        </w:rPr>
        <w:t>天前，招标人可以</w:t>
      </w:r>
      <w:r>
        <w:rPr>
          <w:rFonts w:hint="eastAsia" w:hAnsi="宋体"/>
          <w:color w:val="auto"/>
          <w:szCs w:val="21"/>
          <w:highlight w:val="none"/>
          <w:u w:val="single"/>
        </w:rPr>
        <w:t>在网上</w:t>
      </w:r>
      <w:r>
        <w:rPr>
          <w:rFonts w:hint="eastAsia" w:hAnsi="宋体"/>
          <w:color w:val="auto"/>
          <w:szCs w:val="21"/>
          <w:highlight w:val="none"/>
        </w:rPr>
        <w:t>修改招标文件。如果修改招标文件的时间距投标截止时间不足</w:t>
      </w:r>
      <w:r>
        <w:rPr>
          <w:rFonts w:hint="eastAsia" w:hAnsi="宋体"/>
          <w:color w:val="auto"/>
          <w:szCs w:val="21"/>
          <w:highlight w:val="none"/>
          <w:u w:val="single"/>
        </w:rPr>
        <w:t>15</w:t>
      </w:r>
      <w:r>
        <w:rPr>
          <w:rFonts w:hint="eastAsia" w:hAnsi="宋体"/>
          <w:color w:val="auto"/>
          <w:szCs w:val="21"/>
          <w:highlight w:val="none"/>
        </w:rPr>
        <w:t>天，相应延长投标截止时间。</w:t>
      </w:r>
    </w:p>
    <w:p>
      <w:pPr>
        <w:spacing w:line="400" w:lineRule="exact"/>
        <w:ind w:firstLine="420" w:firstLineChars="200"/>
        <w:rPr>
          <w:color w:val="auto"/>
          <w:highlight w:val="none"/>
        </w:rPr>
      </w:pPr>
      <w:r>
        <w:rPr>
          <w:rFonts w:hint="eastAsia" w:ascii="宋体" w:hAnsi="宋体"/>
          <w:color w:val="auto"/>
          <w:szCs w:val="21"/>
          <w:highlight w:val="none"/>
        </w:rPr>
        <w:t>2.3.2投标人在</w:t>
      </w:r>
      <w:r>
        <w:rPr>
          <w:rFonts w:hint="eastAsia" w:ascii="宋体" w:hAnsi="宋体"/>
          <w:color w:val="auto"/>
          <w:szCs w:val="21"/>
          <w:highlight w:val="none"/>
          <w:u w:val="single"/>
        </w:rPr>
        <w:t>开标前应该及时关注招标人在网上发出的补充文件</w:t>
      </w:r>
      <w:r>
        <w:rPr>
          <w:rFonts w:hint="eastAsia" w:ascii="宋体" w:hAnsi="宋体"/>
          <w:color w:val="auto"/>
          <w:szCs w:val="21"/>
          <w:highlight w:val="none"/>
        </w:rPr>
        <w:t>。</w:t>
      </w:r>
    </w:p>
    <w:p>
      <w:pPr>
        <w:pStyle w:val="6"/>
        <w:spacing w:line="360" w:lineRule="exact"/>
        <w:rPr>
          <w:color w:val="auto"/>
          <w:highlight w:val="none"/>
        </w:rPr>
      </w:pPr>
      <w:r>
        <w:rPr>
          <w:rFonts w:hint="eastAsia"/>
          <w:color w:val="auto"/>
          <w:highlight w:val="none"/>
        </w:rPr>
        <w:t>3．投标文件</w:t>
      </w:r>
      <w:bookmarkEnd w:id="7"/>
    </w:p>
    <w:p>
      <w:pPr>
        <w:pStyle w:val="7"/>
        <w:spacing w:line="360" w:lineRule="exact"/>
        <w:rPr>
          <w:color w:val="auto"/>
          <w:highlight w:val="none"/>
        </w:rPr>
      </w:pPr>
      <w:r>
        <w:rPr>
          <w:rFonts w:hint="eastAsia"/>
          <w:color w:val="auto"/>
          <w:highlight w:val="none"/>
        </w:rPr>
        <w:t>3.1 投标文件的组成</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3.1.1 投标文件应包括下列内容(详见第五章投标文件格式目录中的说明)：</w:t>
      </w:r>
    </w:p>
    <w:p>
      <w:pPr>
        <w:tabs>
          <w:tab w:val="left" w:pos="3765"/>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(l）资格审查资料；</w:t>
      </w:r>
    </w:p>
    <w:p>
      <w:pPr>
        <w:tabs>
          <w:tab w:val="left" w:pos="7845"/>
        </w:tabs>
        <w:spacing w:line="370" w:lineRule="exact"/>
        <w:ind w:firstLine="420" w:firstLineChars="200"/>
        <w:rPr>
          <w:rFonts w:ascii="宋体" w:hAnsi="宋体"/>
          <w:color w:val="auto"/>
          <w:szCs w:val="21"/>
          <w:highlight w:val="none"/>
        </w:rPr>
      </w:pPr>
      <w:r>
        <w:rPr>
          <w:rFonts w:hint="eastAsia" w:ascii="宋体" w:hAnsi="宋体"/>
          <w:color w:val="auto"/>
          <w:szCs w:val="21"/>
          <w:highlight w:val="none"/>
        </w:rPr>
        <w:t>(2）技术及资信标；</w:t>
      </w:r>
    </w:p>
    <w:p>
      <w:pPr>
        <w:spacing w:line="37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(3）商务标。</w:t>
      </w:r>
    </w:p>
    <w:p>
      <w:pPr>
        <w:pStyle w:val="7"/>
        <w:spacing w:line="370" w:lineRule="exact"/>
        <w:rPr>
          <w:color w:val="auto"/>
          <w:highlight w:val="none"/>
        </w:rPr>
      </w:pPr>
      <w:r>
        <w:rPr>
          <w:rFonts w:hint="eastAsia"/>
          <w:color w:val="auto"/>
          <w:highlight w:val="none"/>
        </w:rPr>
        <w:t>3.2 投标报价</w:t>
      </w:r>
    </w:p>
    <w:p>
      <w:pPr>
        <w:spacing w:line="370" w:lineRule="exact"/>
        <w:ind w:firstLine="422" w:firstLineChars="200"/>
        <w:rPr>
          <w:rFonts w:ascii="Arial" w:hAnsi="Arial"/>
          <w:b/>
          <w:bCs/>
          <w:color w:val="auto"/>
          <w:szCs w:val="28"/>
          <w:highlight w:val="none"/>
        </w:rPr>
      </w:pPr>
      <w:r>
        <w:rPr>
          <w:rFonts w:hint="eastAsia" w:ascii="Arial" w:hAnsi="Arial"/>
          <w:b/>
          <w:bCs/>
          <w:color w:val="auto"/>
          <w:szCs w:val="28"/>
          <w:highlight w:val="none"/>
        </w:rPr>
        <w:t>3.2.1 投标人应按第五章投标文件格式中的“投标报价”的要求填写相应表格。</w:t>
      </w:r>
    </w:p>
    <w:p>
      <w:pPr>
        <w:spacing w:line="370" w:lineRule="exact"/>
        <w:ind w:firstLine="422" w:firstLineChars="200"/>
        <w:rPr>
          <w:rFonts w:ascii="Arial" w:hAnsi="Arial"/>
          <w:b/>
          <w:bCs/>
          <w:color w:val="auto"/>
          <w:szCs w:val="28"/>
          <w:highlight w:val="none"/>
        </w:rPr>
      </w:pPr>
      <w:r>
        <w:rPr>
          <w:rFonts w:hint="eastAsia" w:ascii="Arial" w:hAnsi="Arial"/>
          <w:b/>
          <w:bCs/>
          <w:color w:val="auto"/>
          <w:szCs w:val="28"/>
          <w:highlight w:val="none"/>
        </w:rPr>
        <w:t>3.2.2 商务标报价要求：投标人应根据本招标文件和相关工程资料及监理范围、内容、监理服务期等，结合自身监理能力和监理力量、经济实力、市场风险的投入在《建设工程监理与相关服务收费管理规定》（发改价格【2007】670号）文件规定收费标准的</w:t>
      </w:r>
      <w:r>
        <w:rPr>
          <w:rFonts w:hint="eastAsia" w:ascii="Arial" w:hAnsi="Arial"/>
          <w:b/>
          <w:bCs/>
          <w:color w:val="auto"/>
          <w:szCs w:val="28"/>
          <w:highlight w:val="none"/>
        </w:rPr>
        <w:t>60.0%（含）-70.0%</w:t>
      </w:r>
      <w:r>
        <w:rPr>
          <w:rFonts w:hint="eastAsia" w:ascii="Arial" w:hAnsi="Arial"/>
          <w:b/>
          <w:bCs/>
          <w:color w:val="auto"/>
          <w:szCs w:val="28"/>
          <w:highlight w:val="none"/>
        </w:rPr>
        <w:t>（含）区间进行投标报价（百分号前小数点最多保留二位小数</w:t>
      </w:r>
      <w:r>
        <w:rPr>
          <w:rFonts w:ascii="Arial" w:hAnsi="Arial"/>
          <w:b/>
          <w:bCs/>
          <w:color w:val="auto"/>
          <w:szCs w:val="28"/>
          <w:highlight w:val="none"/>
        </w:rPr>
        <w:t>）</w:t>
      </w:r>
      <w:r>
        <w:rPr>
          <w:rFonts w:hint="eastAsia" w:ascii="Arial" w:hAnsi="Arial"/>
          <w:b/>
          <w:bCs/>
          <w:color w:val="auto"/>
          <w:szCs w:val="28"/>
          <w:highlight w:val="none"/>
        </w:rPr>
        <w:t>，</w:t>
      </w:r>
      <w:r>
        <w:rPr>
          <w:rFonts w:hint="eastAsia" w:ascii="Arial" w:hAnsi="Arial"/>
          <w:b/>
          <w:bCs/>
          <w:color w:val="auto"/>
          <w:szCs w:val="28"/>
          <w:highlight w:val="none"/>
        </w:rPr>
        <w:t>调整系数均为1.0</w:t>
      </w:r>
      <w:r>
        <w:rPr>
          <w:rFonts w:hint="eastAsia" w:ascii="Arial" w:hAnsi="Arial"/>
          <w:b/>
          <w:bCs/>
          <w:color w:val="auto"/>
          <w:szCs w:val="28"/>
          <w:highlight w:val="none"/>
        </w:rPr>
        <w:t>。超过此报价范围作无效标处理；并说明收费的依据、优惠条件以及监理服务费调整的条件和方法。监理服务报价应包括为完成本监理工程服务内容可能发生的各项费用，如工作、生活、交通、通讯、设备（仪器）、劳力、利润、税收等以及所有有关的管理费用。</w:t>
      </w:r>
    </w:p>
    <w:p>
      <w:pPr>
        <w:spacing w:line="370" w:lineRule="exact"/>
        <w:ind w:firstLine="310" w:firstLineChars="147"/>
        <w:rPr>
          <w:rFonts w:ascii="宋体" w:hAnsi="宋体"/>
          <w:color w:val="auto"/>
          <w:szCs w:val="21"/>
          <w:highlight w:val="none"/>
        </w:rPr>
      </w:pPr>
      <w:r>
        <w:rPr>
          <w:rFonts w:hint="eastAsia" w:ascii="Arial" w:hAnsi="Arial"/>
          <w:b/>
          <w:bCs/>
          <w:color w:val="auto"/>
          <w:szCs w:val="28"/>
          <w:highlight w:val="none"/>
        </w:rPr>
        <w:t xml:space="preserve"> </w:t>
      </w:r>
      <w:r>
        <w:rPr>
          <w:rFonts w:hint="eastAsia" w:ascii="宋体" w:hAnsi="宋体"/>
          <w:color w:val="auto"/>
          <w:szCs w:val="21"/>
          <w:highlight w:val="none"/>
        </w:rPr>
        <w:t>3.2.3监理费报价应为完成本工程监理服务全部内容，包括监理人员、办公、交通、监理设施、测量仪器、常用试验器具、通讯、生活设施以及可能发生的各种规费等。</w:t>
      </w:r>
    </w:p>
    <w:p>
      <w:pPr>
        <w:spacing w:line="37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3.2.4投标人的监理费用报价在合同实施期间不因市场变化因素而调整；不因图纸设计变化而调整；不因投资额变化而调整；不因监理服务期的延长或缩短、人员的增加或减少均而调整。</w:t>
      </w:r>
    </w:p>
    <w:p>
      <w:pPr>
        <w:pStyle w:val="7"/>
        <w:spacing w:line="370" w:lineRule="exact"/>
        <w:rPr>
          <w:color w:val="auto"/>
          <w:highlight w:val="none"/>
        </w:rPr>
      </w:pPr>
      <w:r>
        <w:rPr>
          <w:rFonts w:hint="eastAsia"/>
          <w:color w:val="auto"/>
          <w:highlight w:val="none"/>
        </w:rPr>
        <w:t>3.3 投标有效期</w:t>
      </w:r>
    </w:p>
    <w:p>
      <w:pPr>
        <w:spacing w:line="370" w:lineRule="exact"/>
        <w:ind w:firstLine="420" w:firstLineChars="200"/>
        <w:rPr>
          <w:rFonts w:ascii="宋体" w:hAnsi="宋体"/>
          <w:color w:val="auto"/>
          <w:szCs w:val="21"/>
          <w:highlight w:val="none"/>
        </w:rPr>
      </w:pPr>
      <w:r>
        <w:rPr>
          <w:rFonts w:hint="eastAsia" w:ascii="宋体" w:hAnsi="宋体"/>
          <w:color w:val="auto"/>
          <w:szCs w:val="21"/>
          <w:highlight w:val="none"/>
        </w:rPr>
        <w:t>3.3.1 在投标人须知前附表规定的投标有效期内，投标人不得要求撤销或修改其投标文件。</w:t>
      </w:r>
    </w:p>
    <w:p>
      <w:pPr>
        <w:spacing w:line="370" w:lineRule="exact"/>
        <w:ind w:firstLine="420" w:firstLineChars="200"/>
        <w:rPr>
          <w:rFonts w:ascii="宋体" w:hAnsi="宋体"/>
          <w:color w:val="auto"/>
          <w:szCs w:val="21"/>
          <w:highlight w:val="none"/>
        </w:rPr>
      </w:pPr>
      <w:r>
        <w:rPr>
          <w:rFonts w:hint="eastAsia" w:ascii="宋体" w:hAnsi="宋体"/>
          <w:color w:val="auto"/>
          <w:szCs w:val="21"/>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7"/>
        <w:spacing w:line="370" w:lineRule="exact"/>
        <w:rPr>
          <w:color w:val="auto"/>
          <w:highlight w:val="none"/>
        </w:rPr>
      </w:pPr>
      <w:r>
        <w:rPr>
          <w:rFonts w:hint="eastAsia"/>
          <w:color w:val="auto"/>
          <w:highlight w:val="none"/>
        </w:rPr>
        <w:t>3.4 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3.4.1 投标人在递交投标文件的同时，应按投标人须知前附表规定的时间、金额、形式和第八章“投标文件格式”规定的投标保证金格式递交投标保证金，并作为其投标文件的组成部分。联合体投标的，其投标保证金由牵头人递交，并应符合投标人须知前附表的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3.4.2 投标人不按本章第3.4.1 项要求提交投标保证金的，</w:t>
      </w:r>
      <w:r>
        <w:rPr>
          <w:rFonts w:hint="eastAsia" w:ascii="宋体" w:hAnsi="宋体"/>
          <w:b/>
          <w:color w:val="auto"/>
          <w:szCs w:val="21"/>
          <w:highlight w:val="none"/>
        </w:rPr>
        <w:t>其投标文件作废标处理。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3.4.3招标人发放中标通知书后5 个工作日内， 向除中标候选人以外的所有投标人退还投标保证金；招标人与中标人签订合同后5 个工作日内，向中标候选人退还投标保证金。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3.4.4 有下列情形之一的，投标保证金将不予退还：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(1）投标人在规定的投标有效期内撤销或修改其投标文件；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(2）中标人拒绝配合招标人办理中标通知书事宜或拒绝签收中标通知书；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(3）中标人在收到中标通知书后，无正当理由拒签合同协议书或未按招标文件规定提交履约担保。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（4）投标人之间串标、围标或以其他方式弄虚作假的行为。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（5）经查实投标人存在以他人名义投标或项目负责人资格、业绩、在建工程等市场行为的弄虚作假的情况</w:t>
      </w:r>
    </w:p>
    <w:p>
      <w:pPr>
        <w:pStyle w:val="7"/>
        <w:spacing w:line="340" w:lineRule="exact"/>
        <w:rPr>
          <w:color w:val="auto"/>
          <w:highlight w:val="none"/>
        </w:rPr>
      </w:pPr>
      <w:r>
        <w:rPr>
          <w:rFonts w:hint="eastAsia"/>
          <w:color w:val="auto"/>
          <w:highlight w:val="none"/>
        </w:rPr>
        <w:t>3.5 资格审查资料</w:t>
      </w:r>
    </w:p>
    <w:p>
      <w:pPr>
        <w:spacing w:line="370" w:lineRule="exact"/>
        <w:ind w:firstLine="420" w:firstLineChars="200"/>
        <w:rPr>
          <w:rFonts w:ascii="宋体" w:hAnsi="宋体"/>
          <w:color w:val="auto"/>
          <w:szCs w:val="21"/>
          <w:highlight w:val="none"/>
        </w:rPr>
      </w:pPr>
      <w:r>
        <w:rPr>
          <w:rFonts w:hint="eastAsia" w:ascii="宋体" w:hAnsi="宋体"/>
          <w:color w:val="auto"/>
          <w:szCs w:val="21"/>
          <w:highlight w:val="none"/>
        </w:rPr>
        <w:t>详见投标文件格式</w:t>
      </w:r>
    </w:p>
    <w:p>
      <w:pPr>
        <w:pStyle w:val="7"/>
        <w:spacing w:line="340" w:lineRule="exact"/>
        <w:rPr>
          <w:color w:val="auto"/>
          <w:highlight w:val="none"/>
        </w:rPr>
      </w:pPr>
      <w:r>
        <w:rPr>
          <w:rFonts w:hint="eastAsia"/>
          <w:color w:val="auto"/>
          <w:highlight w:val="none"/>
        </w:rPr>
        <w:t>3.6 备选投标方案</w:t>
      </w:r>
    </w:p>
    <w:p>
      <w:pPr>
        <w:tabs>
          <w:tab w:val="left" w:pos="4275"/>
        </w:tabs>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不允许投标人递交备选投标方案。</w:t>
      </w:r>
      <w:r>
        <w:rPr>
          <w:rFonts w:ascii="宋体" w:hAnsi="宋体"/>
          <w:color w:val="auto"/>
          <w:szCs w:val="21"/>
          <w:highlight w:val="none"/>
        </w:rPr>
        <w:tab/>
      </w:r>
    </w:p>
    <w:p>
      <w:pPr>
        <w:pStyle w:val="7"/>
        <w:spacing w:line="340" w:lineRule="exact"/>
        <w:rPr>
          <w:color w:val="auto"/>
          <w:highlight w:val="none"/>
        </w:rPr>
      </w:pPr>
      <w:r>
        <w:rPr>
          <w:rFonts w:hint="eastAsia"/>
          <w:color w:val="auto"/>
          <w:highlight w:val="none"/>
        </w:rPr>
        <w:t>3.7 投标文件的编制</w:t>
      </w:r>
      <w:r>
        <w:rPr>
          <w:color w:val="auto"/>
          <w:highlight w:val="none"/>
        </w:rPr>
        <w:tab/>
      </w:r>
    </w:p>
    <w:p>
      <w:pPr>
        <w:spacing w:line="340" w:lineRule="exact"/>
        <w:ind w:firstLine="420" w:firstLineChars="200"/>
        <w:rPr>
          <w:rFonts w:ascii="宋体" w:hAnsi="宋体"/>
          <w:b/>
          <w:bCs/>
          <w:color w:val="auto"/>
          <w:szCs w:val="21"/>
          <w:highlight w:val="none"/>
          <w:u w:val="dashDotHeavy"/>
        </w:rPr>
      </w:pPr>
      <w:r>
        <w:rPr>
          <w:rFonts w:hint="eastAsia" w:ascii="宋体" w:hAnsi="宋体"/>
          <w:color w:val="auto"/>
          <w:szCs w:val="21"/>
          <w:highlight w:val="none"/>
        </w:rPr>
        <w:t>3.7.1投标文件应用不褪色的材料书写或打印，并由投标人的法定代表人（或其委托代理人）签字或盖章并加盖单位公章。委托代理人签字或盖章的，投标文件应附法定代表人签署的授权委托书。投标文件应尽量避免涂改、行间插字或删除。如果出现上述情况，改动之处应加盖单位公章或由投标人的法定代表人（或其委托代理人）签字或盖章确认。</w:t>
      </w:r>
      <w:r>
        <w:rPr>
          <w:rFonts w:hint="eastAsia" w:ascii="宋体" w:hAnsi="宋体"/>
          <w:b/>
          <w:bCs/>
          <w:color w:val="auto"/>
          <w:szCs w:val="21"/>
          <w:highlight w:val="none"/>
          <w:u w:val="dashDotHeavy"/>
        </w:rPr>
        <w:t>技术及资信标（含资格审查资料）、商务标应单独密封分开包装，并在密封袋上均应加盖单位公章和法定代表人印章。</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3.7.2 投标文件正本一份，副本份数见投标人须知前附表。正本和副本的封面上应清楚地标记“正本”或“副本”的字样。当副本和正本不一致时，以正本为准。</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3.7.3 投标文件的正本与副本应分别装订成册，并编制目录。</w:t>
      </w:r>
    </w:p>
    <w:p>
      <w:pPr>
        <w:pStyle w:val="6"/>
        <w:spacing w:line="340" w:lineRule="exact"/>
        <w:rPr>
          <w:rFonts w:ascii="宋体" w:hAnsi="宋体"/>
          <w:b w:val="0"/>
          <w:bCs w:val="0"/>
          <w:color w:val="auto"/>
          <w:sz w:val="21"/>
          <w:szCs w:val="21"/>
          <w:highlight w:val="none"/>
        </w:rPr>
      </w:pPr>
      <w:bookmarkStart w:id="8" w:name="_Toc403986550"/>
      <w:r>
        <w:rPr>
          <w:rFonts w:hint="eastAsia"/>
          <w:color w:val="auto"/>
          <w:highlight w:val="none"/>
        </w:rPr>
        <w:t>4．投标</w:t>
      </w:r>
      <w:bookmarkEnd w:id="8"/>
    </w:p>
    <w:p>
      <w:pPr>
        <w:pStyle w:val="7"/>
        <w:spacing w:line="340" w:lineRule="exact"/>
        <w:rPr>
          <w:color w:val="auto"/>
          <w:highlight w:val="none"/>
        </w:rPr>
      </w:pPr>
      <w:r>
        <w:rPr>
          <w:rFonts w:hint="eastAsia"/>
          <w:color w:val="auto"/>
          <w:highlight w:val="none"/>
        </w:rPr>
        <w:t>4.1 投标文件的密封和标记</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4.1.1 投标文件的封套上应清楚地标记“技术及资信标（含资格审查资料）”或 “商务标” 字样，封套上应写明的其他内容见投标人须知前附表。</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4.1.2未按本章第4.1.1 项要求密封和加写标记的投标文件，招标人不予受理。</w:t>
      </w:r>
    </w:p>
    <w:p>
      <w:pPr>
        <w:pStyle w:val="7"/>
        <w:spacing w:line="340" w:lineRule="exact"/>
        <w:rPr>
          <w:color w:val="auto"/>
          <w:highlight w:val="none"/>
        </w:rPr>
      </w:pPr>
      <w:r>
        <w:rPr>
          <w:rFonts w:hint="eastAsia"/>
          <w:color w:val="auto"/>
          <w:highlight w:val="none"/>
        </w:rPr>
        <w:t>4.2 投标文件的递交</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4.2.1 投标人应在本章第2.2.2 项规定的投标截止时间前递交投标文件。</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4.2.2 投标人递交投标文件的地点：见投标人须知前附表。</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4.2.3 除投标人须知前附表另有规定外，投标人所递交的投标文件不予退还。</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4.2.4公证机构收到投标文件后，向投标人出具签收凭证。</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4.2.5 逾期送达的或者未送达指定地点的投标文件，招标人不予受理。</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4.2.6投标人应认真审阅招标文件中所有的招标公告、投标须知、合同条件、规格格式、要求说明、技术规范和资料等内容，如果投标人的投标文件及其他条件不能满足本招标文件的实质性要求，招标人在任何环节可拒绝其投标或作废标处理，责任由投标单位自负。</w:t>
      </w:r>
    </w:p>
    <w:p>
      <w:pPr>
        <w:pStyle w:val="7"/>
        <w:spacing w:line="340" w:lineRule="exact"/>
        <w:rPr>
          <w:color w:val="auto"/>
          <w:highlight w:val="none"/>
        </w:rPr>
      </w:pPr>
      <w:r>
        <w:rPr>
          <w:rFonts w:hint="eastAsia"/>
          <w:color w:val="auto"/>
          <w:highlight w:val="none"/>
        </w:rPr>
        <w:t>4.3 投标文件的修改与撤回</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4.3.1 在本章第2.2.2 项规定的投标截止时间前，投标人可以修改或撤回已递交的投标文件，但应以书面形式通知招标人。</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4.3.2 投标人修改或撤回已递交投标文件的书面通知应按照本章第3.7.1 项的要求签字或盖章。招标人收到书面通知后，向投标人出具签收凭证。</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4.3.3 修改的内容为投标文件的组成部分。修改的投标文件应按照本章第3 条、第4 条规定进行编制、密封、标记和递交，并标明“修改”字样。</w:t>
      </w:r>
    </w:p>
    <w:p>
      <w:pPr>
        <w:pStyle w:val="6"/>
        <w:spacing w:line="360" w:lineRule="exact"/>
        <w:rPr>
          <w:color w:val="auto"/>
          <w:highlight w:val="none"/>
        </w:rPr>
      </w:pPr>
      <w:bookmarkStart w:id="9" w:name="_Toc403986551"/>
      <w:r>
        <w:rPr>
          <w:rFonts w:hint="eastAsia"/>
          <w:color w:val="auto"/>
          <w:highlight w:val="none"/>
        </w:rPr>
        <w:t>5．开标</w:t>
      </w:r>
      <w:bookmarkEnd w:id="9"/>
    </w:p>
    <w:p>
      <w:pPr>
        <w:pStyle w:val="7"/>
        <w:spacing w:line="360" w:lineRule="exact"/>
        <w:rPr>
          <w:color w:val="auto"/>
          <w:highlight w:val="none"/>
        </w:rPr>
      </w:pPr>
      <w:r>
        <w:rPr>
          <w:rFonts w:hint="eastAsia"/>
          <w:color w:val="auto"/>
          <w:highlight w:val="none"/>
        </w:rPr>
        <w:t>5.1 开标时间和地点</w:t>
      </w:r>
    </w:p>
    <w:p>
      <w:pPr>
        <w:spacing w:line="360" w:lineRule="exact"/>
        <w:ind w:firstLine="403" w:firstLineChars="192"/>
        <w:rPr>
          <w:rFonts w:ascii="宋体" w:hAnsi="宋体"/>
          <w:color w:val="auto"/>
          <w:szCs w:val="21"/>
          <w:highlight w:val="none"/>
        </w:rPr>
      </w:pPr>
      <w:r>
        <w:rPr>
          <w:rFonts w:hint="eastAsia" w:ascii="宋体" w:hAnsi="宋体"/>
          <w:color w:val="auto"/>
          <w:szCs w:val="21"/>
          <w:highlight w:val="none"/>
        </w:rPr>
        <w:t>招标人在本章第2.2.2 项规定的投标截止时间（开标时间）和投标人须知前附表规定的地点公开开标。</w:t>
      </w:r>
    </w:p>
    <w:p>
      <w:pPr>
        <w:spacing w:line="360" w:lineRule="exact"/>
        <w:rPr>
          <w:rFonts w:ascii="Arial" w:hAnsi="Arial"/>
          <w:b/>
          <w:bCs/>
          <w:color w:val="auto"/>
          <w:szCs w:val="28"/>
          <w:highlight w:val="none"/>
        </w:rPr>
      </w:pPr>
      <w:r>
        <w:rPr>
          <w:rFonts w:hint="eastAsia" w:ascii="Arial" w:hAnsi="Arial"/>
          <w:b/>
          <w:bCs/>
          <w:color w:val="auto"/>
          <w:szCs w:val="28"/>
          <w:highlight w:val="none"/>
        </w:rPr>
        <w:t>5.2 开标程序</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主持人按下列程序进行开标：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(l）宣布开标纪律；</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(2）公布在投标截止时间前递交投标文件的投标人名称；</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(3）宣布开标人、唱标人、记录人、监标人等有关人员姓名；</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(4）按照投标人须知前附表规定检查投标文件的密封情况；</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(5）按照投标人须知前附表的规定确定并宣布投标文件开标顺序；</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(6）按照宣布的开标顺序当众开标，公布投标人名称、标段名称、投标保证金的递交情况、投标报价、及其他内容，并记录在案；</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(7）招标人代表、监标人、记录人等相关人员在开标记录上签字确认；</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(8）开标结束。</w:t>
      </w:r>
    </w:p>
    <w:p>
      <w:pPr>
        <w:pStyle w:val="6"/>
        <w:spacing w:line="360" w:lineRule="exact"/>
        <w:rPr>
          <w:color w:val="auto"/>
          <w:highlight w:val="none"/>
        </w:rPr>
      </w:pPr>
      <w:bookmarkStart w:id="10" w:name="_Toc403986552"/>
      <w:r>
        <w:rPr>
          <w:rFonts w:hint="eastAsia"/>
          <w:color w:val="auto"/>
          <w:highlight w:val="none"/>
        </w:rPr>
        <w:t>6．评标</w:t>
      </w:r>
      <w:bookmarkEnd w:id="10"/>
    </w:p>
    <w:p>
      <w:pPr>
        <w:pStyle w:val="7"/>
        <w:spacing w:line="360" w:lineRule="exact"/>
        <w:rPr>
          <w:color w:val="auto"/>
          <w:highlight w:val="none"/>
        </w:rPr>
      </w:pPr>
      <w:r>
        <w:rPr>
          <w:rFonts w:hint="eastAsia"/>
          <w:color w:val="auto"/>
          <w:highlight w:val="none"/>
        </w:rPr>
        <w:t>6.1 评标委员会</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6.1.2 评标委员会成员有下列情形之一的，应当回避：</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(1）招标人或投标人的主要负责人的近亲属；</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(2）项目主管部门或者行政监督部门的人员：</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(3）与投标人有经济利益关系，可能影响对投标公正评审的；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(4）曾因在招标、评标以及其他与招标投标有关活动中从事违法行为而受过行政处罚或刑事处罚的。</w:t>
      </w:r>
    </w:p>
    <w:p>
      <w:pPr>
        <w:pStyle w:val="7"/>
        <w:spacing w:line="360" w:lineRule="exact"/>
        <w:rPr>
          <w:color w:val="auto"/>
          <w:highlight w:val="none"/>
        </w:rPr>
      </w:pPr>
      <w:r>
        <w:rPr>
          <w:rFonts w:hint="eastAsia"/>
          <w:color w:val="auto"/>
          <w:highlight w:val="none"/>
        </w:rPr>
        <w:t>6.2 评标原则</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评标活动遵循公平、公正、科学和择优的原则。</w:t>
      </w:r>
    </w:p>
    <w:p>
      <w:pPr>
        <w:pStyle w:val="7"/>
        <w:spacing w:line="360" w:lineRule="exact"/>
        <w:rPr>
          <w:color w:val="auto"/>
          <w:highlight w:val="none"/>
        </w:rPr>
      </w:pPr>
      <w:r>
        <w:rPr>
          <w:rFonts w:hint="eastAsia"/>
          <w:color w:val="auto"/>
          <w:highlight w:val="none"/>
        </w:rPr>
        <w:t>6.3 评标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6"/>
        <w:spacing w:line="360" w:lineRule="exact"/>
        <w:rPr>
          <w:color w:val="auto"/>
          <w:highlight w:val="none"/>
        </w:rPr>
      </w:pPr>
      <w:bookmarkStart w:id="11" w:name="_Toc403986553"/>
      <w:r>
        <w:rPr>
          <w:rFonts w:hint="eastAsia" w:ascii="Arial" w:hAnsi="Arial"/>
          <w:color w:val="auto"/>
          <w:sz w:val="21"/>
          <w:szCs w:val="28"/>
          <w:highlight w:val="none"/>
        </w:rPr>
        <w:t>7．</w:t>
      </w:r>
      <w:r>
        <w:rPr>
          <w:rFonts w:hint="eastAsia"/>
          <w:color w:val="auto"/>
          <w:highlight w:val="none"/>
        </w:rPr>
        <w:t>合同授予</w:t>
      </w:r>
      <w:bookmarkEnd w:id="11"/>
    </w:p>
    <w:p>
      <w:pPr>
        <w:pStyle w:val="7"/>
        <w:spacing w:line="360" w:lineRule="exact"/>
        <w:rPr>
          <w:color w:val="auto"/>
          <w:highlight w:val="none"/>
        </w:rPr>
      </w:pPr>
      <w:r>
        <w:rPr>
          <w:rFonts w:hint="eastAsia"/>
          <w:color w:val="auto"/>
          <w:highlight w:val="none"/>
        </w:rPr>
        <w:t>7.1 定标方式</w:t>
      </w:r>
    </w:p>
    <w:p>
      <w:pPr>
        <w:spacing w:line="340" w:lineRule="exact"/>
        <w:ind w:firstLine="417" w:firstLineChars="198"/>
        <w:rPr>
          <w:b/>
          <w:color w:val="auto"/>
          <w:highlight w:val="none"/>
        </w:rPr>
      </w:pPr>
      <w:r>
        <w:rPr>
          <w:rFonts w:hint="eastAsia"/>
          <w:b/>
          <w:color w:val="auto"/>
          <w:highlight w:val="none"/>
        </w:rPr>
        <w:t>7.1.1以综合得分排序前一名的为第一中标候选人。</w:t>
      </w:r>
    </w:p>
    <w:p>
      <w:pPr>
        <w:spacing w:line="340" w:lineRule="exact"/>
        <w:ind w:firstLine="417" w:firstLineChars="198"/>
        <w:rPr>
          <w:b/>
          <w:color w:val="auto"/>
          <w:highlight w:val="none"/>
        </w:rPr>
      </w:pPr>
      <w:r>
        <w:rPr>
          <w:rFonts w:hint="eastAsia"/>
          <w:b/>
          <w:color w:val="auto"/>
          <w:highlight w:val="none"/>
        </w:rPr>
        <w:t>7.1.2中标候选人将在金华市婺城区公共资</w:t>
      </w:r>
      <w:r>
        <w:rPr>
          <w:rFonts w:hint="eastAsia"/>
          <w:b/>
          <w:color w:val="auto"/>
          <w:highlight w:val="none"/>
        </w:rPr>
        <w:t>源交易网公示三天；</w:t>
      </w:r>
      <w:r>
        <w:rPr>
          <w:rFonts w:hint="eastAsia"/>
          <w:b/>
          <w:color w:val="auto"/>
          <w:highlight w:val="none"/>
        </w:rPr>
        <w:t>若无异议，则第一中标候选人为中标人。</w:t>
      </w:r>
    </w:p>
    <w:p>
      <w:pPr>
        <w:spacing w:line="340" w:lineRule="exact"/>
        <w:ind w:firstLine="417" w:firstLineChars="198"/>
        <w:rPr>
          <w:b/>
          <w:color w:val="auto"/>
          <w:highlight w:val="none"/>
        </w:rPr>
      </w:pPr>
      <w:r>
        <w:rPr>
          <w:rFonts w:hint="eastAsia"/>
          <w:b/>
          <w:color w:val="auto"/>
          <w:highlight w:val="none"/>
        </w:rPr>
        <w:t>7.1.3公示期间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7"/>
        <w:rPr>
          <w:color w:val="auto"/>
          <w:highlight w:val="none"/>
        </w:rPr>
      </w:pPr>
      <w:r>
        <w:rPr>
          <w:rFonts w:hint="eastAsia"/>
          <w:color w:val="auto"/>
          <w:highlight w:val="none"/>
        </w:rPr>
        <w:t>7.2 中标通知</w:t>
      </w:r>
    </w:p>
    <w:p>
      <w:pPr>
        <w:spacing w:line="340" w:lineRule="exact"/>
        <w:ind w:firstLine="417" w:firstLineChars="198"/>
        <w:rPr>
          <w:b/>
          <w:color w:val="auto"/>
          <w:highlight w:val="none"/>
        </w:rPr>
      </w:pPr>
      <w:r>
        <w:rPr>
          <w:rFonts w:hint="eastAsia"/>
          <w:b/>
          <w:color w:val="auto"/>
          <w:highlight w:val="none"/>
        </w:rPr>
        <w:t>在本章第3.3 款规定的投标有效期内，招标人以书面形式向中标人发出中标通知书，同时将中标结果通知未中标的投标人。</w:t>
      </w:r>
    </w:p>
    <w:p>
      <w:pPr>
        <w:pStyle w:val="7"/>
        <w:tabs>
          <w:tab w:val="left" w:pos="1800"/>
        </w:tabs>
        <w:spacing w:line="360" w:lineRule="exact"/>
        <w:rPr>
          <w:color w:val="auto"/>
          <w:highlight w:val="none"/>
        </w:rPr>
      </w:pPr>
      <w:r>
        <w:rPr>
          <w:rFonts w:hint="eastAsia"/>
          <w:color w:val="auto"/>
          <w:highlight w:val="none"/>
        </w:rPr>
        <w:t>7.3 履约担保</w:t>
      </w:r>
    </w:p>
    <w:p>
      <w:pPr>
        <w:tabs>
          <w:tab w:val="left" w:pos="3765"/>
          <w:tab w:val="left" w:pos="4755"/>
        </w:tabs>
        <w:autoSpaceDE w:val="0"/>
        <w:autoSpaceDN w:val="0"/>
        <w:adjustRightIn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7.3.1 在签订合同前，按金市建综合（2007）101号和金建招（2007）28号文件规定在实施中标通知书备案之日算起的十五个工作日内，中标单位应按投标人须知前附表的金额向招标人缴纳履约保证金</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7.3.2 中标人不能按本章第7.3.1 项要求提交履约担保的，视为放弃中标，其投标保证金不予退还，给招标人造成的损失超过投标保证金数额的，中标人还应当对超过部分予以赔偿。</w:t>
      </w:r>
    </w:p>
    <w:p>
      <w:pPr>
        <w:pStyle w:val="7"/>
        <w:spacing w:line="360" w:lineRule="exact"/>
        <w:rPr>
          <w:color w:val="auto"/>
          <w:highlight w:val="none"/>
        </w:rPr>
      </w:pPr>
      <w:r>
        <w:rPr>
          <w:rFonts w:hint="eastAsia"/>
          <w:color w:val="auto"/>
          <w:highlight w:val="none"/>
        </w:rPr>
        <w:t>7.4 签订合同</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7.4.2 发出中标通知书后，招标人无正当理由拒签合同的，招标人向中标人退还投标保证金；给中标人造成损失的，还应当赔偿损失。</w:t>
      </w:r>
    </w:p>
    <w:p>
      <w:pPr>
        <w:pStyle w:val="6"/>
        <w:spacing w:line="360" w:lineRule="exact"/>
        <w:rPr>
          <w:color w:val="auto"/>
          <w:highlight w:val="none"/>
        </w:rPr>
      </w:pPr>
      <w:bookmarkStart w:id="12" w:name="_Toc403986554"/>
      <w:r>
        <w:rPr>
          <w:rFonts w:hint="eastAsia"/>
          <w:color w:val="auto"/>
          <w:highlight w:val="none"/>
        </w:rPr>
        <w:t>8．重新组织评标、重新组织招标和不再招标</w:t>
      </w:r>
      <w:bookmarkEnd w:id="12"/>
    </w:p>
    <w:p>
      <w:pPr>
        <w:pStyle w:val="7"/>
        <w:spacing w:line="360" w:lineRule="exact"/>
        <w:rPr>
          <w:color w:val="auto"/>
          <w:highlight w:val="none"/>
        </w:rPr>
      </w:pPr>
      <w:r>
        <w:rPr>
          <w:rFonts w:hint="eastAsia"/>
          <w:color w:val="auto"/>
          <w:highlight w:val="none"/>
        </w:rPr>
        <w:t>8.1 重新评标</w:t>
      </w:r>
    </w:p>
    <w:p>
      <w:pPr>
        <w:spacing w:line="360" w:lineRule="exact"/>
        <w:ind w:firstLine="315" w:firstLineChars="150"/>
        <w:rPr>
          <w:rFonts w:ascii="宋体" w:hAnsi="宋体"/>
          <w:bCs/>
          <w:color w:val="auto"/>
          <w:sz w:val="18"/>
          <w:szCs w:val="18"/>
          <w:highlight w:val="none"/>
        </w:rPr>
      </w:pPr>
      <w:r>
        <w:rPr>
          <w:rFonts w:hint="eastAsia" w:ascii="宋体" w:hAnsi="宋体"/>
          <w:color w:val="auto"/>
          <w:szCs w:val="21"/>
          <w:highlight w:val="none"/>
        </w:rPr>
        <w:t>有下列情形之一的，招标人将重新组织评标：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(l）</w:t>
      </w:r>
      <w:r>
        <w:rPr>
          <w:rFonts w:ascii="宋体" w:hAnsi="宋体"/>
          <w:color w:val="auto"/>
          <w:szCs w:val="21"/>
          <w:highlight w:val="none"/>
        </w:rPr>
        <w:t>使用招标文件没有确定的评标标准和方法的；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评标标准和方法含有倾向或者排斥投标人的内容，妨碍或者限制投标人之间竞争，且影响评标结果的；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应当回避担任评标委员会成员的人参与评标的；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评标委员会的组建及人员组成不符合法定要求的；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评标委员会及其成员在评标过程中有违法违规、显失公正行为的</w:t>
      </w:r>
      <w:r>
        <w:rPr>
          <w:rFonts w:hint="eastAsia" w:ascii="宋体" w:hAnsi="宋体"/>
          <w:color w:val="auto"/>
          <w:szCs w:val="21"/>
          <w:highlight w:val="none"/>
        </w:rPr>
        <w:t>，</w:t>
      </w:r>
      <w:r>
        <w:rPr>
          <w:rFonts w:ascii="宋体" w:hAnsi="宋体"/>
          <w:color w:val="auto"/>
          <w:szCs w:val="21"/>
          <w:highlight w:val="none"/>
        </w:rPr>
        <w:t>且影响评标结果的</w:t>
      </w:r>
      <w:r>
        <w:rPr>
          <w:rFonts w:hint="eastAsia" w:ascii="宋体" w:hAnsi="宋体"/>
          <w:color w:val="auto"/>
          <w:szCs w:val="21"/>
          <w:highlight w:val="none"/>
        </w:rPr>
        <w:t>；</w:t>
      </w:r>
    </w:p>
    <w:p>
      <w:pPr>
        <w:spacing w:line="360" w:lineRule="exact"/>
        <w:ind w:firstLine="420" w:firstLineChars="200"/>
        <w:rPr>
          <w:rFonts w:ascii="宋体" w:hAnsi="宋体"/>
          <w:color w:val="auto"/>
          <w:sz w:val="18"/>
          <w:szCs w:val="18"/>
          <w:highlight w:val="none"/>
        </w:rPr>
      </w:pPr>
      <w:r>
        <w:rPr>
          <w:rFonts w:hint="eastAsia" w:ascii="宋体" w:hAnsi="宋体"/>
          <w:color w:val="auto"/>
          <w:szCs w:val="21"/>
          <w:highlight w:val="none"/>
        </w:rPr>
        <w:t>(6）拟中标人</w:t>
      </w:r>
      <w:r>
        <w:rPr>
          <w:rFonts w:ascii="宋体" w:hAnsi="宋体"/>
          <w:color w:val="auto"/>
          <w:szCs w:val="21"/>
          <w:highlight w:val="none"/>
        </w:rPr>
        <w:t>公示期间，</w:t>
      </w:r>
      <w:r>
        <w:rPr>
          <w:rFonts w:hint="eastAsia" w:ascii="宋体" w:hAnsi="宋体"/>
          <w:color w:val="auto"/>
          <w:szCs w:val="21"/>
          <w:highlight w:val="none"/>
        </w:rPr>
        <w:t>区建设</w:t>
      </w:r>
      <w:r>
        <w:rPr>
          <w:rFonts w:ascii="宋体" w:hAnsi="宋体"/>
          <w:color w:val="auto"/>
          <w:szCs w:val="21"/>
          <w:highlight w:val="none"/>
        </w:rPr>
        <w:t>行政监督部门</w:t>
      </w:r>
      <w:r>
        <w:rPr>
          <w:rFonts w:hint="eastAsia" w:ascii="宋体" w:hAnsi="宋体"/>
          <w:color w:val="auto"/>
          <w:szCs w:val="21"/>
          <w:highlight w:val="none"/>
        </w:rPr>
        <w:t>收到投诉并</w:t>
      </w:r>
      <w:r>
        <w:rPr>
          <w:rFonts w:ascii="宋体" w:hAnsi="宋体"/>
          <w:color w:val="auto"/>
          <w:szCs w:val="21"/>
          <w:highlight w:val="none"/>
        </w:rPr>
        <w:t>经核查后发现招标投标过程中确有违反《中华人民共和国招标投标法》和其他有关法律、法规且影响评标结果公正性的</w:t>
      </w:r>
      <w:r>
        <w:rPr>
          <w:rFonts w:hint="eastAsia" w:ascii="宋体" w:hAnsi="宋体"/>
          <w:color w:val="auto"/>
          <w:szCs w:val="21"/>
          <w:highlight w:val="none"/>
        </w:rPr>
        <w:t>。</w:t>
      </w:r>
    </w:p>
    <w:p>
      <w:pPr>
        <w:pStyle w:val="7"/>
        <w:spacing w:line="360" w:lineRule="exact"/>
        <w:rPr>
          <w:color w:val="auto"/>
          <w:highlight w:val="none"/>
        </w:rPr>
      </w:pPr>
      <w:r>
        <w:rPr>
          <w:rFonts w:hint="eastAsia"/>
          <w:color w:val="auto"/>
          <w:highlight w:val="none"/>
        </w:rPr>
        <w:t>8.2 重新招标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有下列情形之一的，招标人将重新招标：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(l）投标截止时间止，投标人少于3 个的；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(2）经评标委员会评审后,有效投标单位少于3家的；</w:t>
      </w:r>
    </w:p>
    <w:p>
      <w:pPr>
        <w:spacing w:line="360" w:lineRule="exact"/>
        <w:ind w:firstLine="315" w:firstLineChars="150"/>
        <w:rPr>
          <w:rFonts w:ascii="宋体" w:hAnsi="宋体"/>
          <w:bCs/>
          <w:color w:val="auto"/>
          <w:sz w:val="18"/>
          <w:szCs w:val="18"/>
          <w:highlight w:val="none"/>
        </w:rPr>
      </w:pPr>
      <w:r>
        <w:rPr>
          <w:rFonts w:hint="eastAsia" w:ascii="宋体" w:hAnsi="宋体"/>
          <w:color w:val="auto"/>
          <w:szCs w:val="21"/>
          <w:highlight w:val="none"/>
        </w:rPr>
        <w:t>（3）出现本章3.3.2项特殊情况，但同意延长</w:t>
      </w:r>
      <w:r>
        <w:rPr>
          <w:rFonts w:ascii="宋体" w:hAnsi="宋体"/>
          <w:color w:val="auto"/>
          <w:szCs w:val="21"/>
          <w:highlight w:val="none"/>
        </w:rPr>
        <w:t>投标有效期的投标人少于</w:t>
      </w:r>
      <w:r>
        <w:rPr>
          <w:rFonts w:hint="eastAsia" w:ascii="宋体" w:hAnsi="宋体"/>
          <w:color w:val="auto"/>
          <w:szCs w:val="21"/>
          <w:highlight w:val="none"/>
        </w:rPr>
        <w:t>3</w:t>
      </w:r>
      <w:r>
        <w:rPr>
          <w:rFonts w:ascii="宋体" w:hAnsi="宋体"/>
          <w:color w:val="auto"/>
          <w:szCs w:val="21"/>
          <w:highlight w:val="none"/>
        </w:rPr>
        <w:t>个的</w:t>
      </w:r>
      <w:r>
        <w:rPr>
          <w:rFonts w:hint="eastAsia" w:ascii="宋体" w:hAnsi="宋体"/>
          <w:color w:val="auto"/>
          <w:szCs w:val="21"/>
          <w:highlight w:val="none"/>
        </w:rPr>
        <w:t>；</w:t>
      </w:r>
    </w:p>
    <w:p>
      <w:pPr>
        <w:spacing w:line="360" w:lineRule="exact"/>
        <w:ind w:firstLine="315" w:firstLineChars="150"/>
        <w:rPr>
          <w:rFonts w:ascii="宋体" w:hAnsi="宋体"/>
          <w:b/>
          <w:bCs/>
          <w:color w:val="auto"/>
          <w:sz w:val="18"/>
          <w:szCs w:val="18"/>
          <w:highlight w:val="none"/>
        </w:rPr>
      </w:pPr>
      <w:r>
        <w:rPr>
          <w:rFonts w:hint="eastAsia" w:ascii="宋体" w:hAnsi="宋体"/>
          <w:color w:val="auto"/>
          <w:szCs w:val="21"/>
          <w:highlight w:val="none"/>
        </w:rPr>
        <w:t>（4）因违反建设工程招标投标有关法律、法规及规章规定，由建设行政主管部门认定本次招标无效，必须重新招标的。</w:t>
      </w:r>
    </w:p>
    <w:p>
      <w:pPr>
        <w:pStyle w:val="7"/>
        <w:spacing w:line="360" w:lineRule="exact"/>
        <w:rPr>
          <w:color w:val="auto"/>
          <w:highlight w:val="none"/>
        </w:rPr>
      </w:pPr>
      <w:r>
        <w:rPr>
          <w:rFonts w:hint="eastAsia"/>
          <w:color w:val="auto"/>
          <w:highlight w:val="none"/>
        </w:rPr>
        <w:t>8.3 不再招标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重新招标后投标人仍少于3 个或者所有投标被否决的，属于必须审批或核准的工程建设项目，经原审批或核准部门批准后不再进行招标。</w:t>
      </w:r>
    </w:p>
    <w:p>
      <w:pPr>
        <w:pStyle w:val="6"/>
        <w:spacing w:line="360" w:lineRule="exact"/>
        <w:rPr>
          <w:color w:val="auto"/>
          <w:highlight w:val="none"/>
        </w:rPr>
      </w:pPr>
      <w:bookmarkStart w:id="13" w:name="_Toc403986555"/>
      <w:r>
        <w:rPr>
          <w:rFonts w:hint="eastAsia"/>
          <w:color w:val="auto"/>
          <w:highlight w:val="none"/>
        </w:rPr>
        <w:t>9．纪律和监督</w:t>
      </w:r>
      <w:bookmarkEnd w:id="13"/>
    </w:p>
    <w:p>
      <w:pPr>
        <w:pStyle w:val="7"/>
        <w:spacing w:line="400" w:lineRule="exact"/>
        <w:rPr>
          <w:color w:val="auto"/>
          <w:highlight w:val="none"/>
        </w:rPr>
      </w:pPr>
      <w:r>
        <w:rPr>
          <w:rFonts w:hint="eastAsia"/>
          <w:color w:val="auto"/>
          <w:highlight w:val="none"/>
        </w:rPr>
        <w:t>9.1 对招标人的纪律要求</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招标人不得泄漏招标投标活动中应当保密的情况和资料，不得与投标人串通损害国家利益、社会公共利益或者他人合法权益。</w:t>
      </w:r>
    </w:p>
    <w:p>
      <w:pPr>
        <w:pStyle w:val="7"/>
        <w:spacing w:line="400" w:lineRule="exact"/>
        <w:rPr>
          <w:color w:val="auto"/>
          <w:highlight w:val="none"/>
        </w:rPr>
      </w:pPr>
      <w:r>
        <w:rPr>
          <w:rFonts w:hint="eastAsia"/>
          <w:color w:val="auto"/>
          <w:highlight w:val="none"/>
        </w:rPr>
        <w:t>9.2 对投标人的纪律要求</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投标人不得挂靠投标，如在招标过程及中标后发现一律作废标处理，并报市有关行政监督部门备案并进行不良行为公示，一切费用由投标人自行承担。</w:t>
      </w:r>
    </w:p>
    <w:p>
      <w:pPr>
        <w:pStyle w:val="3"/>
        <w:ind w:firstLine="0" w:firstLineChars="0"/>
        <w:rPr>
          <w:b/>
          <w:bCs/>
          <w:color w:val="auto"/>
          <w:highlight w:val="none"/>
        </w:rPr>
      </w:pPr>
      <w:r>
        <w:rPr>
          <w:rFonts w:hint="eastAsia" w:ascii="宋体" w:hAnsi="宋体"/>
          <w:b/>
          <w:bCs/>
          <w:color w:val="auto"/>
          <w:sz w:val="21"/>
          <w:szCs w:val="21"/>
          <w:highlight w:val="none"/>
        </w:rPr>
        <w:t>9.3</w:t>
      </w:r>
      <w:r>
        <w:rPr>
          <w:rFonts w:hint="eastAsia"/>
          <w:b/>
          <w:bCs/>
          <w:color w:val="auto"/>
          <w:highlight w:val="none"/>
        </w:rPr>
        <w:t xml:space="preserve"> </w:t>
      </w:r>
      <w:r>
        <w:rPr>
          <w:rFonts w:hint="eastAsia"/>
          <w:b/>
          <w:bCs/>
          <w:color w:val="auto"/>
          <w:sz w:val="21"/>
          <w:szCs w:val="21"/>
          <w:highlight w:val="none"/>
        </w:rPr>
        <w:t>对评标委员会成员的纪律要求</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7"/>
        <w:spacing w:line="400" w:lineRule="exact"/>
        <w:rPr>
          <w:color w:val="auto"/>
          <w:highlight w:val="none"/>
        </w:rPr>
      </w:pPr>
      <w:r>
        <w:rPr>
          <w:rFonts w:hint="eastAsia"/>
          <w:color w:val="auto"/>
          <w:highlight w:val="none"/>
        </w:rPr>
        <w:t>9.4 对与评标活动有关的工作人员的纪律要求</w:t>
      </w:r>
    </w:p>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spacing w:line="400" w:lineRule="exact"/>
        <w:rPr>
          <w:color w:val="auto"/>
          <w:highlight w:val="none"/>
        </w:rPr>
      </w:pPr>
      <w:r>
        <w:rPr>
          <w:rFonts w:hint="eastAsia"/>
          <w:color w:val="auto"/>
          <w:highlight w:val="none"/>
        </w:rPr>
        <w:t>9.5 投诉</w:t>
      </w:r>
    </w:p>
    <w:p>
      <w:pPr>
        <w:spacing w:line="340" w:lineRule="exact"/>
        <w:ind w:firstLine="420" w:firstLineChars="200"/>
        <w:rPr>
          <w:rFonts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及</w:t>
      </w:r>
      <w:r>
        <w:rPr>
          <w:rFonts w:ascii="宋体" w:hAnsi="宋体"/>
          <w:color w:val="auto"/>
          <w:szCs w:val="21"/>
          <w:highlight w:val="none"/>
        </w:rPr>
        <w:t>其他利害关系人</w:t>
      </w:r>
      <w:r>
        <w:rPr>
          <w:rFonts w:hint="eastAsia" w:ascii="宋体" w:hAnsi="宋体"/>
          <w:color w:val="auto"/>
          <w:szCs w:val="21"/>
          <w:highlight w:val="none"/>
        </w:rPr>
        <w:t>认为评标结果不公正的，应当在公示期间向</w:t>
      </w:r>
      <w:r>
        <w:rPr>
          <w:rFonts w:ascii="宋体" w:hAnsi="宋体"/>
          <w:color w:val="auto"/>
          <w:szCs w:val="21"/>
          <w:highlight w:val="none"/>
        </w:rPr>
        <w:t>招标人</w:t>
      </w:r>
      <w:r>
        <w:rPr>
          <w:rFonts w:hint="eastAsia" w:ascii="宋体" w:hAnsi="宋体"/>
          <w:color w:val="auto"/>
          <w:szCs w:val="21"/>
          <w:highlight w:val="none"/>
        </w:rPr>
        <w:t>（或招标代理机构）</w:t>
      </w:r>
      <w:r>
        <w:rPr>
          <w:rFonts w:ascii="宋体" w:hAnsi="宋体"/>
          <w:color w:val="auto"/>
          <w:szCs w:val="21"/>
          <w:highlight w:val="none"/>
        </w:rPr>
        <w:t>提出</w:t>
      </w:r>
      <w:r>
        <w:rPr>
          <w:rFonts w:hint="eastAsia" w:ascii="宋体" w:hAnsi="宋体"/>
          <w:color w:val="auto"/>
          <w:szCs w:val="21"/>
          <w:highlight w:val="none"/>
        </w:rPr>
        <w:t>异议；</w:t>
      </w:r>
      <w:r>
        <w:rPr>
          <w:rFonts w:ascii="宋体" w:hAnsi="宋体"/>
          <w:color w:val="auto"/>
          <w:szCs w:val="21"/>
          <w:highlight w:val="none"/>
        </w:rPr>
        <w:t>投标人</w:t>
      </w:r>
      <w:r>
        <w:rPr>
          <w:rFonts w:hint="eastAsia" w:ascii="宋体" w:hAnsi="宋体"/>
          <w:color w:val="auto"/>
          <w:szCs w:val="21"/>
          <w:highlight w:val="none"/>
        </w:rPr>
        <w:t>及</w:t>
      </w:r>
      <w:r>
        <w:rPr>
          <w:rFonts w:ascii="宋体" w:hAnsi="宋体"/>
          <w:color w:val="auto"/>
          <w:szCs w:val="21"/>
          <w:highlight w:val="none"/>
        </w:rPr>
        <w:t>其他利害关系人</w:t>
      </w:r>
      <w:r>
        <w:rPr>
          <w:rFonts w:hint="eastAsia" w:ascii="宋体" w:hAnsi="宋体"/>
          <w:color w:val="auto"/>
          <w:szCs w:val="21"/>
          <w:highlight w:val="none"/>
        </w:rPr>
        <w:t>对招标人（或招标代理机构）回复有异议的，可就相关事项向有关建设</w:t>
      </w:r>
      <w:r>
        <w:rPr>
          <w:rFonts w:ascii="宋体" w:hAnsi="宋体"/>
          <w:color w:val="auto"/>
          <w:szCs w:val="21"/>
          <w:highlight w:val="none"/>
        </w:rPr>
        <w:t>行政监督部门</w:t>
      </w:r>
      <w:r>
        <w:rPr>
          <w:rFonts w:hint="eastAsia" w:ascii="宋体" w:hAnsi="宋体"/>
          <w:color w:val="auto"/>
          <w:szCs w:val="21"/>
          <w:highlight w:val="none"/>
        </w:rPr>
        <w:t>进行投诉并提供明确的请求和必要的合法证明材料。</w:t>
      </w:r>
    </w:p>
    <w:p>
      <w:pPr>
        <w:pStyle w:val="4"/>
        <w:tabs>
          <w:tab w:val="left" w:pos="2695"/>
          <w:tab w:val="center" w:pos="4819"/>
        </w:tabs>
        <w:spacing w:line="360" w:lineRule="exact"/>
        <w:jc w:val="center"/>
        <w:rPr>
          <w:color w:val="auto"/>
          <w:szCs w:val="32"/>
          <w:highlight w:val="none"/>
        </w:rPr>
      </w:pPr>
      <w:bookmarkStart w:id="14" w:name="_Toc291074182"/>
      <w:bookmarkStart w:id="15" w:name="_Toc184635093"/>
    </w:p>
    <w:p>
      <w:pPr>
        <w:pStyle w:val="4"/>
        <w:pageBreakBefore/>
        <w:tabs>
          <w:tab w:val="left" w:pos="2695"/>
          <w:tab w:val="center" w:pos="4819"/>
        </w:tabs>
        <w:spacing w:line="360" w:lineRule="exact"/>
        <w:jc w:val="center"/>
        <w:rPr>
          <w:color w:val="auto"/>
          <w:szCs w:val="32"/>
          <w:highlight w:val="none"/>
        </w:rPr>
      </w:pPr>
      <w:bookmarkStart w:id="16" w:name="_Toc403986556"/>
      <w:r>
        <w:rPr>
          <w:rFonts w:hint="eastAsia"/>
          <w:color w:val="auto"/>
          <w:highlight w:val="none"/>
        </w:rPr>
        <w:t>第三章 评标办法</w:t>
      </w:r>
      <w:bookmarkEnd w:id="14"/>
      <w:bookmarkEnd w:id="16"/>
    </w:p>
    <w:bookmarkEnd w:id="15"/>
    <w:p>
      <w:pPr>
        <w:spacing w:line="360" w:lineRule="exact"/>
        <w:ind w:firstLine="482" w:firstLineChars="200"/>
        <w:jc w:val="center"/>
        <w:rPr>
          <w:rFonts w:ascii="宋体" w:hAnsi="宋体"/>
          <w:b/>
          <w:color w:val="auto"/>
          <w:sz w:val="24"/>
          <w:highlight w:val="none"/>
        </w:rPr>
      </w:pPr>
      <w:bookmarkStart w:id="17" w:name="_Toc403986557"/>
      <w:bookmarkStart w:id="18" w:name="_Toc355359396"/>
      <w:r>
        <w:rPr>
          <w:rFonts w:hint="eastAsia" w:ascii="宋体" w:hAnsi="宋体"/>
          <w:b/>
          <w:color w:val="auto"/>
          <w:sz w:val="24"/>
          <w:highlight w:val="none"/>
        </w:rPr>
        <w:t>评标办法前附表</w:t>
      </w:r>
    </w:p>
    <w:tbl>
      <w:tblPr>
        <w:tblStyle w:val="1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090"/>
        <w:gridCol w:w="2958"/>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97" w:type="dxa"/>
            <w:gridSpan w:val="2"/>
            <w:vAlign w:val="center"/>
          </w:tcPr>
          <w:p>
            <w:pPr>
              <w:spacing w:line="360" w:lineRule="exact"/>
              <w:jc w:val="center"/>
              <w:rPr>
                <w:b/>
                <w:color w:val="auto"/>
                <w:highlight w:val="none"/>
              </w:rPr>
            </w:pPr>
            <w:r>
              <w:rPr>
                <w:rFonts w:hint="eastAsia" w:ascii="宋体" w:hAnsi="宋体"/>
                <w:b/>
                <w:color w:val="auto"/>
                <w:szCs w:val="21"/>
                <w:highlight w:val="none"/>
              </w:rPr>
              <w:t>条款号</w:t>
            </w:r>
          </w:p>
        </w:tc>
        <w:tc>
          <w:tcPr>
            <w:tcW w:w="2958" w:type="dxa"/>
            <w:vAlign w:val="center"/>
          </w:tcPr>
          <w:p>
            <w:pPr>
              <w:spacing w:line="360" w:lineRule="exact"/>
              <w:jc w:val="center"/>
              <w:rPr>
                <w:b/>
                <w:color w:val="auto"/>
                <w:highlight w:val="none"/>
              </w:rPr>
            </w:pPr>
            <w:r>
              <w:rPr>
                <w:rFonts w:hint="eastAsia" w:ascii="宋体" w:hAnsi="宋体"/>
                <w:b/>
                <w:color w:val="auto"/>
                <w:szCs w:val="21"/>
                <w:highlight w:val="none"/>
              </w:rPr>
              <w:t>评审因素</w:t>
            </w:r>
          </w:p>
        </w:tc>
        <w:tc>
          <w:tcPr>
            <w:tcW w:w="5076" w:type="dxa"/>
            <w:vAlign w:val="center"/>
          </w:tcPr>
          <w:p>
            <w:pPr>
              <w:spacing w:line="360" w:lineRule="exact"/>
              <w:jc w:val="center"/>
              <w:rPr>
                <w:b/>
                <w:color w:val="auto"/>
                <w:highlight w:val="none"/>
              </w:rPr>
            </w:pPr>
            <w:r>
              <w:rPr>
                <w:rFonts w:hint="eastAsia" w:ascii="宋体" w:hAnsi="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907" w:type="dxa"/>
            <w:vMerge w:val="restart"/>
            <w:vAlign w:val="center"/>
          </w:tcPr>
          <w:p>
            <w:pPr>
              <w:spacing w:line="360" w:lineRule="exact"/>
              <w:jc w:val="center"/>
              <w:rPr>
                <w:rFonts w:ascii="宋体" w:hAnsi="宋体"/>
                <w:color w:val="auto"/>
                <w:highlight w:val="none"/>
              </w:rPr>
            </w:pPr>
            <w:r>
              <w:rPr>
                <w:rFonts w:hint="eastAsia" w:ascii="宋体" w:hAnsi="宋体"/>
                <w:color w:val="auto"/>
                <w:highlight w:val="none"/>
              </w:rPr>
              <w:t>2.1.1</w:t>
            </w:r>
          </w:p>
        </w:tc>
        <w:tc>
          <w:tcPr>
            <w:tcW w:w="1090" w:type="dxa"/>
            <w:vMerge w:val="restart"/>
            <w:vAlign w:val="center"/>
          </w:tcPr>
          <w:p>
            <w:pPr>
              <w:spacing w:line="360" w:lineRule="exact"/>
              <w:jc w:val="center"/>
              <w:rPr>
                <w:color w:val="auto"/>
                <w:highlight w:val="none"/>
              </w:rPr>
            </w:pPr>
            <w:r>
              <w:rPr>
                <w:rFonts w:hint="eastAsia" w:ascii="宋体" w:hAnsi="宋体"/>
                <w:color w:val="auto"/>
                <w:szCs w:val="21"/>
                <w:highlight w:val="none"/>
              </w:rPr>
              <w:t>形式评审标准</w:t>
            </w: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投标人名称</w:t>
            </w:r>
          </w:p>
        </w:tc>
        <w:tc>
          <w:tcPr>
            <w:tcW w:w="5076" w:type="dxa"/>
            <w:vAlign w:val="center"/>
          </w:tcPr>
          <w:p>
            <w:pPr>
              <w:spacing w:line="360" w:lineRule="exact"/>
              <w:rPr>
                <w:color w:val="auto"/>
                <w:highlight w:val="none"/>
              </w:rPr>
            </w:pPr>
            <w:r>
              <w:rPr>
                <w:rFonts w:hint="eastAsia" w:ascii="宋体" w:hAnsi="宋体"/>
                <w:color w:val="auto"/>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907" w:type="dxa"/>
            <w:vMerge w:val="continue"/>
          </w:tcPr>
          <w:p>
            <w:pPr>
              <w:spacing w:line="360" w:lineRule="exact"/>
              <w:rPr>
                <w:color w:val="auto"/>
                <w:highlight w:val="none"/>
              </w:rPr>
            </w:pPr>
          </w:p>
        </w:tc>
        <w:tc>
          <w:tcPr>
            <w:tcW w:w="1090" w:type="dxa"/>
            <w:vMerge w:val="continue"/>
          </w:tcPr>
          <w:p>
            <w:pPr>
              <w:spacing w:line="360" w:lineRule="exact"/>
              <w:rPr>
                <w:rFonts w:ascii="宋体" w:hAnsi="宋体"/>
                <w:color w:val="auto"/>
                <w:szCs w:val="21"/>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投标函签字盖章</w:t>
            </w:r>
          </w:p>
        </w:tc>
        <w:tc>
          <w:tcPr>
            <w:tcW w:w="5076" w:type="dxa"/>
            <w:vAlign w:val="center"/>
          </w:tcPr>
          <w:p>
            <w:pPr>
              <w:spacing w:line="360" w:lineRule="exact"/>
              <w:rPr>
                <w:color w:val="auto"/>
                <w:highlight w:val="none"/>
              </w:rPr>
            </w:pPr>
            <w:r>
              <w:rPr>
                <w:rFonts w:hint="eastAsia" w:ascii="宋体" w:hAnsi="宋体"/>
                <w:color w:val="auto"/>
                <w:szCs w:val="21"/>
                <w:highlight w:val="none"/>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907" w:type="dxa"/>
            <w:vMerge w:val="continue"/>
          </w:tcPr>
          <w:p>
            <w:pPr>
              <w:spacing w:line="360" w:lineRule="exact"/>
              <w:rPr>
                <w:color w:val="auto"/>
                <w:highlight w:val="none"/>
              </w:rPr>
            </w:pPr>
          </w:p>
        </w:tc>
        <w:tc>
          <w:tcPr>
            <w:tcW w:w="1090" w:type="dxa"/>
            <w:vMerge w:val="continue"/>
          </w:tcPr>
          <w:p>
            <w:pPr>
              <w:spacing w:line="360" w:lineRule="exact"/>
              <w:rPr>
                <w:rFonts w:ascii="宋体" w:hAnsi="宋体"/>
                <w:color w:val="auto"/>
                <w:szCs w:val="21"/>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报价唯一</w:t>
            </w:r>
          </w:p>
        </w:tc>
        <w:tc>
          <w:tcPr>
            <w:tcW w:w="5076" w:type="dxa"/>
            <w:vAlign w:val="center"/>
          </w:tcPr>
          <w:p>
            <w:pPr>
              <w:spacing w:line="360" w:lineRule="exact"/>
              <w:rPr>
                <w:color w:val="auto"/>
                <w:highlight w:val="none"/>
              </w:rPr>
            </w:pPr>
            <w:r>
              <w:rPr>
                <w:rFonts w:hint="eastAsia" w:ascii="宋体" w:hAnsi="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907" w:type="dxa"/>
            <w:vMerge w:val="restart"/>
          </w:tcPr>
          <w:p>
            <w:pPr>
              <w:spacing w:line="360" w:lineRule="exact"/>
              <w:ind w:firstLine="105" w:firstLineChars="50"/>
              <w:rPr>
                <w:color w:val="auto"/>
                <w:highlight w:val="none"/>
              </w:rPr>
            </w:pPr>
            <w:r>
              <w:rPr>
                <w:rFonts w:hint="eastAsia" w:ascii="宋体" w:hAnsi="宋体"/>
                <w:color w:val="auto"/>
                <w:szCs w:val="21"/>
                <w:highlight w:val="none"/>
              </w:rPr>
              <w:t>2.1.2</w:t>
            </w:r>
          </w:p>
        </w:tc>
        <w:tc>
          <w:tcPr>
            <w:tcW w:w="1090"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资格后审评审标准</w:t>
            </w:r>
          </w:p>
        </w:tc>
        <w:tc>
          <w:tcPr>
            <w:tcW w:w="2958" w:type="dxa"/>
            <w:vAlign w:val="center"/>
          </w:tcPr>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企业资质</w:t>
            </w:r>
          </w:p>
        </w:tc>
        <w:tc>
          <w:tcPr>
            <w:tcW w:w="5076"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符合附表3-1要求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907" w:type="dxa"/>
            <w:vMerge w:val="continue"/>
          </w:tcPr>
          <w:p>
            <w:pPr>
              <w:spacing w:line="360" w:lineRule="exact"/>
              <w:rPr>
                <w:color w:val="auto"/>
                <w:highlight w:val="none"/>
              </w:rPr>
            </w:pPr>
          </w:p>
        </w:tc>
        <w:tc>
          <w:tcPr>
            <w:tcW w:w="1090" w:type="dxa"/>
            <w:vMerge w:val="continue"/>
          </w:tcPr>
          <w:p>
            <w:pPr>
              <w:spacing w:line="360" w:lineRule="exact"/>
              <w:rPr>
                <w:rFonts w:ascii="宋体" w:hAnsi="宋体"/>
                <w:color w:val="auto"/>
                <w:szCs w:val="21"/>
                <w:highlight w:val="none"/>
              </w:rPr>
            </w:pPr>
          </w:p>
        </w:tc>
        <w:tc>
          <w:tcPr>
            <w:tcW w:w="2958" w:type="dxa"/>
            <w:vAlign w:val="center"/>
          </w:tcPr>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拟派人员</w:t>
            </w:r>
          </w:p>
        </w:tc>
        <w:tc>
          <w:tcPr>
            <w:tcW w:w="5076"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符合附表3-2要求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907" w:type="dxa"/>
            <w:vMerge w:val="continue"/>
          </w:tcPr>
          <w:p>
            <w:pPr>
              <w:spacing w:line="360" w:lineRule="exact"/>
              <w:rPr>
                <w:color w:val="auto"/>
                <w:highlight w:val="none"/>
              </w:rPr>
            </w:pPr>
          </w:p>
        </w:tc>
        <w:tc>
          <w:tcPr>
            <w:tcW w:w="1090" w:type="dxa"/>
            <w:vMerge w:val="continue"/>
          </w:tcPr>
          <w:p>
            <w:pPr>
              <w:spacing w:line="360" w:lineRule="exact"/>
              <w:rPr>
                <w:rFonts w:ascii="宋体" w:hAnsi="宋体"/>
                <w:color w:val="auto"/>
                <w:szCs w:val="21"/>
                <w:highlight w:val="none"/>
              </w:rPr>
            </w:pPr>
          </w:p>
        </w:tc>
        <w:tc>
          <w:tcPr>
            <w:tcW w:w="2958" w:type="dxa"/>
            <w:vAlign w:val="center"/>
          </w:tcPr>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投标时提供的报名资料</w:t>
            </w:r>
          </w:p>
        </w:tc>
        <w:tc>
          <w:tcPr>
            <w:tcW w:w="5076"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符合附表3-3要求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907" w:type="dxa"/>
            <w:vMerge w:val="continue"/>
          </w:tcPr>
          <w:p>
            <w:pPr>
              <w:spacing w:line="360" w:lineRule="exact"/>
              <w:rPr>
                <w:color w:val="auto"/>
                <w:highlight w:val="none"/>
              </w:rPr>
            </w:pPr>
          </w:p>
        </w:tc>
        <w:tc>
          <w:tcPr>
            <w:tcW w:w="1090" w:type="dxa"/>
            <w:vMerge w:val="continue"/>
          </w:tcPr>
          <w:p>
            <w:pPr>
              <w:spacing w:line="360" w:lineRule="exact"/>
              <w:rPr>
                <w:rFonts w:ascii="宋体" w:hAnsi="宋体"/>
                <w:color w:val="auto"/>
                <w:szCs w:val="21"/>
                <w:highlight w:val="none"/>
              </w:rPr>
            </w:pPr>
          </w:p>
        </w:tc>
        <w:tc>
          <w:tcPr>
            <w:tcW w:w="8034"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1) 资格审查按通过和未通过两种方法进行评定，投标人所有作为资格审查通过的强制性资格条件（见强制性资格条件表），经核实有一项不符合要求的，则投标人的资格为未通过，对未通过的投标人其投标文件不再进行评审。</w:t>
            </w:r>
          </w:p>
          <w:p>
            <w:pPr>
              <w:spacing w:line="360" w:lineRule="auto"/>
              <w:rPr>
                <w:rFonts w:ascii="宋体" w:hAnsi="宋体"/>
                <w:color w:val="auto"/>
                <w:szCs w:val="21"/>
                <w:highlight w:val="none"/>
              </w:rPr>
            </w:pPr>
            <w:r>
              <w:rPr>
                <w:rFonts w:hint="eastAsia" w:ascii="宋体" w:hAnsi="宋体"/>
                <w:color w:val="auto"/>
                <w:szCs w:val="21"/>
                <w:highlight w:val="none"/>
              </w:rPr>
              <w:t>2) 投标人资格后审申请书应按《强制性资格条件表》顺序编排。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07" w:type="dxa"/>
            <w:vMerge w:val="restart"/>
            <w:vAlign w:val="center"/>
          </w:tcPr>
          <w:p>
            <w:pPr>
              <w:spacing w:line="360" w:lineRule="exact"/>
              <w:jc w:val="center"/>
              <w:rPr>
                <w:rFonts w:ascii="宋体" w:hAnsi="宋体"/>
                <w:color w:val="auto"/>
                <w:highlight w:val="none"/>
              </w:rPr>
            </w:pPr>
            <w:r>
              <w:rPr>
                <w:rFonts w:hint="eastAsia" w:ascii="宋体" w:hAnsi="宋体"/>
                <w:color w:val="auto"/>
                <w:highlight w:val="none"/>
              </w:rPr>
              <w:t>2.1.3</w:t>
            </w:r>
          </w:p>
        </w:tc>
        <w:tc>
          <w:tcPr>
            <w:tcW w:w="1090" w:type="dxa"/>
            <w:vMerge w:val="restart"/>
            <w:vAlign w:val="center"/>
          </w:tcPr>
          <w:p>
            <w:pPr>
              <w:spacing w:line="360" w:lineRule="exact"/>
              <w:rPr>
                <w:rFonts w:ascii="宋体" w:hAnsi="宋体"/>
                <w:color w:val="auto"/>
                <w:szCs w:val="21"/>
                <w:highlight w:val="none"/>
              </w:rPr>
            </w:pPr>
            <w:r>
              <w:rPr>
                <w:rFonts w:hint="eastAsia" w:ascii="宋体" w:hAnsi="宋体"/>
                <w:color w:val="auto"/>
                <w:szCs w:val="21"/>
                <w:highlight w:val="none"/>
              </w:rPr>
              <w:t>响应性评审标准</w:t>
            </w:r>
          </w:p>
          <w:p>
            <w:pPr>
              <w:spacing w:line="360" w:lineRule="exact"/>
              <w:jc w:val="center"/>
              <w:rPr>
                <w:rFonts w:ascii="宋体" w:hAnsi="宋体"/>
                <w:color w:val="auto"/>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投标内容</w:t>
            </w:r>
          </w:p>
        </w:tc>
        <w:tc>
          <w:tcPr>
            <w:tcW w:w="5076" w:type="dxa"/>
            <w:vAlign w:val="center"/>
          </w:tcPr>
          <w:p>
            <w:pPr>
              <w:spacing w:line="360" w:lineRule="exact"/>
              <w:rPr>
                <w:color w:val="auto"/>
                <w:highlight w:val="none"/>
              </w:rPr>
            </w:pPr>
            <w:r>
              <w:rPr>
                <w:rFonts w:hint="eastAsia" w:ascii="宋体" w:hAnsi="宋体"/>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07" w:type="dxa"/>
            <w:vMerge w:val="continue"/>
            <w:vAlign w:val="center"/>
          </w:tcPr>
          <w:p>
            <w:pPr>
              <w:spacing w:line="360" w:lineRule="exact"/>
              <w:rPr>
                <w:color w:val="auto"/>
                <w:highlight w:val="none"/>
              </w:rPr>
            </w:pPr>
          </w:p>
        </w:tc>
        <w:tc>
          <w:tcPr>
            <w:tcW w:w="1090" w:type="dxa"/>
            <w:vMerge w:val="continue"/>
            <w:vAlign w:val="center"/>
          </w:tcPr>
          <w:p>
            <w:pPr>
              <w:spacing w:line="360" w:lineRule="exact"/>
              <w:rPr>
                <w:color w:val="auto"/>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监理服务期</w:t>
            </w:r>
          </w:p>
        </w:tc>
        <w:tc>
          <w:tcPr>
            <w:tcW w:w="5076" w:type="dxa"/>
            <w:vAlign w:val="center"/>
          </w:tcPr>
          <w:p>
            <w:pPr>
              <w:spacing w:line="360" w:lineRule="exact"/>
              <w:rPr>
                <w:color w:val="auto"/>
                <w:highlight w:val="none"/>
              </w:rPr>
            </w:pPr>
            <w:r>
              <w:rPr>
                <w:rFonts w:hint="eastAsia" w:ascii="宋体" w:hAnsi="宋体"/>
                <w:color w:val="auto"/>
                <w:szCs w:val="21"/>
                <w:highlight w:val="none"/>
              </w:rPr>
              <w:t>符合第二章“投标人须知”第1.3.2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07" w:type="dxa"/>
            <w:vMerge w:val="continue"/>
            <w:vAlign w:val="center"/>
          </w:tcPr>
          <w:p>
            <w:pPr>
              <w:spacing w:line="360" w:lineRule="exact"/>
              <w:rPr>
                <w:color w:val="auto"/>
                <w:highlight w:val="none"/>
              </w:rPr>
            </w:pPr>
          </w:p>
        </w:tc>
        <w:tc>
          <w:tcPr>
            <w:tcW w:w="1090" w:type="dxa"/>
            <w:vMerge w:val="continue"/>
            <w:vAlign w:val="center"/>
          </w:tcPr>
          <w:p>
            <w:pPr>
              <w:spacing w:line="360" w:lineRule="exact"/>
              <w:rPr>
                <w:color w:val="auto"/>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工程质量</w:t>
            </w:r>
          </w:p>
        </w:tc>
        <w:tc>
          <w:tcPr>
            <w:tcW w:w="5076" w:type="dxa"/>
            <w:vAlign w:val="center"/>
          </w:tcPr>
          <w:p>
            <w:pPr>
              <w:spacing w:line="360" w:lineRule="exact"/>
              <w:rPr>
                <w:color w:val="auto"/>
                <w:highlight w:val="none"/>
              </w:rPr>
            </w:pPr>
            <w:r>
              <w:rPr>
                <w:rFonts w:hint="eastAsia" w:ascii="宋体" w:hAnsi="宋体"/>
                <w:color w:val="auto"/>
                <w:szCs w:val="21"/>
                <w:highlight w:val="none"/>
              </w:rPr>
              <w:t>符合第二章“投标人须知”第1.3.3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07" w:type="dxa"/>
            <w:vMerge w:val="continue"/>
            <w:vAlign w:val="center"/>
          </w:tcPr>
          <w:p>
            <w:pPr>
              <w:spacing w:line="360" w:lineRule="exact"/>
              <w:rPr>
                <w:color w:val="auto"/>
                <w:highlight w:val="none"/>
              </w:rPr>
            </w:pPr>
          </w:p>
        </w:tc>
        <w:tc>
          <w:tcPr>
            <w:tcW w:w="1090" w:type="dxa"/>
            <w:vMerge w:val="continue"/>
            <w:vAlign w:val="center"/>
          </w:tcPr>
          <w:p>
            <w:pPr>
              <w:spacing w:line="360" w:lineRule="exact"/>
              <w:rPr>
                <w:color w:val="auto"/>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投标有效期</w:t>
            </w:r>
          </w:p>
        </w:tc>
        <w:tc>
          <w:tcPr>
            <w:tcW w:w="5076" w:type="dxa"/>
            <w:vAlign w:val="center"/>
          </w:tcPr>
          <w:p>
            <w:pPr>
              <w:spacing w:line="360" w:lineRule="exact"/>
              <w:rPr>
                <w:color w:val="auto"/>
                <w:highlight w:val="none"/>
              </w:rPr>
            </w:pPr>
            <w:r>
              <w:rPr>
                <w:rFonts w:hint="eastAsia" w:ascii="宋体" w:hAnsi="宋体"/>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07" w:type="dxa"/>
            <w:vMerge w:val="continue"/>
            <w:vAlign w:val="center"/>
          </w:tcPr>
          <w:p>
            <w:pPr>
              <w:spacing w:line="360" w:lineRule="exact"/>
              <w:rPr>
                <w:color w:val="auto"/>
                <w:highlight w:val="none"/>
              </w:rPr>
            </w:pPr>
          </w:p>
        </w:tc>
        <w:tc>
          <w:tcPr>
            <w:tcW w:w="1090" w:type="dxa"/>
            <w:vMerge w:val="continue"/>
            <w:vAlign w:val="center"/>
          </w:tcPr>
          <w:p>
            <w:pPr>
              <w:spacing w:line="360" w:lineRule="exact"/>
              <w:rPr>
                <w:color w:val="auto"/>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投标保证金</w:t>
            </w:r>
          </w:p>
        </w:tc>
        <w:tc>
          <w:tcPr>
            <w:tcW w:w="5076" w:type="dxa"/>
            <w:vAlign w:val="center"/>
          </w:tcPr>
          <w:p>
            <w:pPr>
              <w:spacing w:line="360" w:lineRule="exact"/>
              <w:rPr>
                <w:color w:val="auto"/>
                <w:highlight w:val="none"/>
              </w:rPr>
            </w:pPr>
            <w:r>
              <w:rPr>
                <w:rFonts w:hint="eastAsia" w:ascii="宋体" w:hAnsi="宋体"/>
                <w:color w:val="auto"/>
                <w:szCs w:val="21"/>
                <w:highlight w:val="none"/>
              </w:rPr>
              <w:t>符合第二章“投标人须知”第3.4.1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07" w:type="dxa"/>
            <w:vMerge w:val="continue"/>
            <w:vAlign w:val="center"/>
          </w:tcPr>
          <w:p>
            <w:pPr>
              <w:spacing w:line="360" w:lineRule="exact"/>
              <w:rPr>
                <w:color w:val="auto"/>
                <w:highlight w:val="none"/>
              </w:rPr>
            </w:pPr>
          </w:p>
        </w:tc>
        <w:tc>
          <w:tcPr>
            <w:tcW w:w="1090" w:type="dxa"/>
            <w:vMerge w:val="continue"/>
            <w:vAlign w:val="center"/>
          </w:tcPr>
          <w:p>
            <w:pPr>
              <w:spacing w:line="360" w:lineRule="exact"/>
              <w:rPr>
                <w:color w:val="auto"/>
                <w:highlight w:val="none"/>
              </w:rPr>
            </w:pPr>
          </w:p>
        </w:tc>
        <w:tc>
          <w:tcPr>
            <w:tcW w:w="2958" w:type="dxa"/>
            <w:vAlign w:val="center"/>
          </w:tcPr>
          <w:p>
            <w:pPr>
              <w:spacing w:line="360" w:lineRule="exact"/>
              <w:ind w:firstLine="420" w:firstLineChars="200"/>
              <w:jc w:val="center"/>
              <w:rPr>
                <w:color w:val="auto"/>
                <w:highlight w:val="none"/>
              </w:rPr>
            </w:pPr>
            <w:r>
              <w:rPr>
                <w:rFonts w:hint="eastAsia" w:ascii="宋体" w:hAnsi="宋体"/>
                <w:color w:val="auto"/>
                <w:szCs w:val="21"/>
                <w:highlight w:val="none"/>
              </w:rPr>
              <w:t>权利义务</w:t>
            </w:r>
          </w:p>
        </w:tc>
        <w:tc>
          <w:tcPr>
            <w:tcW w:w="5076" w:type="dxa"/>
            <w:vAlign w:val="center"/>
          </w:tcPr>
          <w:p>
            <w:pPr>
              <w:spacing w:line="360" w:lineRule="exact"/>
              <w:rPr>
                <w:color w:val="auto"/>
                <w:highlight w:val="none"/>
              </w:rPr>
            </w:pPr>
            <w:r>
              <w:rPr>
                <w:rFonts w:hint="eastAsia" w:ascii="宋体" w:hAnsi="宋体"/>
                <w:color w:val="auto"/>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997" w:type="dxa"/>
            <w:gridSpan w:val="2"/>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2.2.1</w:t>
            </w:r>
          </w:p>
        </w:tc>
        <w:tc>
          <w:tcPr>
            <w:tcW w:w="2958" w:type="dxa"/>
            <w:vAlign w:val="center"/>
          </w:tcPr>
          <w:p>
            <w:pPr>
              <w:spacing w:line="360" w:lineRule="exact"/>
              <w:ind w:firstLine="420" w:firstLineChars="200"/>
              <w:jc w:val="center"/>
              <w:rPr>
                <w:rFonts w:ascii="宋体" w:hAnsi="宋体"/>
                <w:color w:val="auto"/>
                <w:szCs w:val="21"/>
                <w:highlight w:val="none"/>
              </w:rPr>
            </w:pPr>
            <w:r>
              <w:rPr>
                <w:rFonts w:hint="eastAsia" w:ascii="宋体" w:hAnsi="宋体"/>
                <w:color w:val="auto"/>
                <w:szCs w:val="21"/>
                <w:highlight w:val="none"/>
              </w:rPr>
              <w:t>分值构成</w:t>
            </w:r>
          </w:p>
          <w:p>
            <w:pPr>
              <w:spacing w:line="360" w:lineRule="exact"/>
              <w:ind w:firstLine="420" w:firstLineChars="200"/>
              <w:jc w:val="center"/>
              <w:rPr>
                <w:rFonts w:ascii="宋体" w:hAnsi="宋体"/>
                <w:color w:val="auto"/>
                <w:szCs w:val="21"/>
                <w:highlight w:val="none"/>
              </w:rPr>
            </w:pPr>
            <w:r>
              <w:rPr>
                <w:rFonts w:hint="eastAsia" w:ascii="宋体" w:hAnsi="宋体"/>
                <w:color w:val="auto"/>
                <w:szCs w:val="21"/>
                <w:highlight w:val="none"/>
              </w:rPr>
              <w:t>(总分100分)</w:t>
            </w:r>
          </w:p>
        </w:tc>
        <w:tc>
          <w:tcPr>
            <w:tcW w:w="5076" w:type="dxa"/>
            <w:vAlign w:val="center"/>
          </w:tcPr>
          <w:p>
            <w:pPr>
              <w:spacing w:line="360" w:lineRule="exact"/>
              <w:jc w:val="left"/>
              <w:rPr>
                <w:rFonts w:hAnsi="宋体"/>
                <w:bCs/>
                <w:color w:val="auto"/>
                <w:szCs w:val="21"/>
                <w:highlight w:val="none"/>
              </w:rPr>
            </w:pPr>
            <w:r>
              <w:rPr>
                <w:rFonts w:hint="eastAsia" w:hAnsi="宋体"/>
                <w:bCs/>
                <w:color w:val="auto"/>
                <w:szCs w:val="21"/>
                <w:highlight w:val="none"/>
              </w:rPr>
              <w:t>资信标评定分值：5分</w:t>
            </w:r>
          </w:p>
          <w:p>
            <w:pPr>
              <w:spacing w:line="360" w:lineRule="exact"/>
              <w:jc w:val="left"/>
              <w:rPr>
                <w:rFonts w:hAnsi="宋体"/>
                <w:bCs/>
                <w:color w:val="auto"/>
                <w:szCs w:val="21"/>
                <w:highlight w:val="none"/>
              </w:rPr>
            </w:pPr>
            <w:r>
              <w:rPr>
                <w:rFonts w:hint="eastAsia" w:hAnsi="宋体"/>
                <w:bCs/>
                <w:color w:val="auto"/>
                <w:szCs w:val="21"/>
                <w:highlight w:val="none"/>
              </w:rPr>
              <w:t>技术标评定分值：20分</w:t>
            </w:r>
          </w:p>
          <w:p>
            <w:pPr>
              <w:spacing w:line="360" w:lineRule="exact"/>
              <w:jc w:val="left"/>
              <w:rPr>
                <w:rFonts w:ascii="宋体" w:hAnsi="宋体"/>
                <w:color w:val="auto"/>
                <w:szCs w:val="21"/>
                <w:highlight w:val="none"/>
              </w:rPr>
            </w:pPr>
            <w:r>
              <w:rPr>
                <w:rFonts w:hint="eastAsia" w:hAnsi="宋体"/>
                <w:bCs/>
                <w:color w:val="auto"/>
                <w:szCs w:val="21"/>
                <w:highlight w:val="none"/>
              </w:rPr>
              <w:t>商务标评定分值：75分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997" w:type="dxa"/>
            <w:gridSpan w:val="2"/>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2.2.2</w:t>
            </w:r>
          </w:p>
        </w:tc>
        <w:tc>
          <w:tcPr>
            <w:tcW w:w="2958" w:type="dxa"/>
            <w:vAlign w:val="center"/>
          </w:tcPr>
          <w:p>
            <w:pPr>
              <w:spacing w:line="360" w:lineRule="exact"/>
              <w:jc w:val="center"/>
              <w:rPr>
                <w:rFonts w:hAnsi="宋体"/>
                <w:bCs/>
                <w:color w:val="auto"/>
                <w:szCs w:val="21"/>
                <w:highlight w:val="none"/>
              </w:rPr>
            </w:pPr>
            <w:r>
              <w:rPr>
                <w:rFonts w:hint="eastAsia" w:hAnsi="宋体"/>
                <w:bCs/>
                <w:color w:val="auto"/>
                <w:szCs w:val="21"/>
                <w:highlight w:val="none"/>
              </w:rPr>
              <w:t>评分基准价的确定：</w:t>
            </w:r>
          </w:p>
        </w:tc>
        <w:tc>
          <w:tcPr>
            <w:tcW w:w="5076" w:type="dxa"/>
            <w:vAlign w:val="center"/>
          </w:tcPr>
          <w:p>
            <w:pPr>
              <w:spacing w:line="400" w:lineRule="exact"/>
              <w:rPr>
                <w:color w:val="auto"/>
                <w:szCs w:val="21"/>
                <w:highlight w:val="none"/>
              </w:rPr>
            </w:pPr>
            <w:r>
              <w:rPr>
                <w:rFonts w:hint="eastAsia"/>
                <w:color w:val="auto"/>
                <w:szCs w:val="21"/>
                <w:highlight w:val="none"/>
              </w:rPr>
              <w:t>由招标人在规定收费标准的</w:t>
            </w:r>
            <w:r>
              <w:rPr>
                <w:rFonts w:hint="eastAsia"/>
                <w:color w:val="auto"/>
                <w:szCs w:val="21"/>
                <w:highlight w:val="none"/>
              </w:rPr>
              <w:t>60</w:t>
            </w:r>
            <w:r>
              <w:rPr>
                <w:color w:val="auto"/>
                <w:szCs w:val="21"/>
                <w:highlight w:val="none"/>
              </w:rPr>
              <w:t>.0%</w:t>
            </w:r>
            <w:r>
              <w:rPr>
                <w:rFonts w:hint="eastAsia"/>
                <w:color w:val="auto"/>
                <w:szCs w:val="21"/>
                <w:highlight w:val="none"/>
              </w:rPr>
              <w:t>（含）至70</w:t>
            </w:r>
            <w:r>
              <w:rPr>
                <w:color w:val="auto"/>
                <w:szCs w:val="21"/>
                <w:highlight w:val="none"/>
              </w:rPr>
              <w:t>.0 %</w:t>
            </w:r>
            <w:r>
              <w:rPr>
                <w:rFonts w:hint="eastAsia"/>
                <w:color w:val="auto"/>
                <w:szCs w:val="21"/>
                <w:highlight w:val="none"/>
              </w:rPr>
              <w:t>（含）范围内【共设11个（每</w:t>
            </w:r>
            <w:r>
              <w:rPr>
                <w:color w:val="auto"/>
                <w:szCs w:val="21"/>
                <w:highlight w:val="none"/>
              </w:rPr>
              <w:t>1%</w:t>
            </w:r>
            <w:r>
              <w:rPr>
                <w:rFonts w:hint="eastAsia"/>
                <w:color w:val="auto"/>
                <w:szCs w:val="21"/>
                <w:highlight w:val="none"/>
              </w:rPr>
              <w:t>为一个签）】</w:t>
            </w:r>
            <w:r>
              <w:rPr>
                <w:rFonts w:hint="eastAsia" w:ascii="宋体" w:hAnsi="宋体"/>
                <w:iCs/>
                <w:color w:val="auto"/>
                <w:sz w:val="24"/>
                <w:highlight w:val="none"/>
              </w:rPr>
              <w:t>，</w:t>
            </w:r>
            <w:r>
              <w:rPr>
                <w:rFonts w:hint="eastAsia"/>
                <w:color w:val="auto"/>
                <w:szCs w:val="21"/>
                <w:highlight w:val="none"/>
              </w:rPr>
              <w:t>供随机抽取产生A、B值。</w:t>
            </w:r>
          </w:p>
          <w:p>
            <w:pPr>
              <w:spacing w:line="400" w:lineRule="exact"/>
              <w:ind w:firstLine="420" w:firstLineChars="200"/>
              <w:rPr>
                <w:color w:val="auto"/>
                <w:szCs w:val="21"/>
                <w:highlight w:val="none"/>
              </w:rPr>
            </w:pPr>
            <w:r>
              <w:rPr>
                <w:rFonts w:hint="eastAsia"/>
                <w:color w:val="auto"/>
                <w:szCs w:val="21"/>
                <w:highlight w:val="none"/>
              </w:rPr>
              <w:t>①由招标人随机抽取一个系数A和一个系数B；</w:t>
            </w:r>
          </w:p>
          <w:p>
            <w:pPr>
              <w:spacing w:line="360" w:lineRule="exact"/>
              <w:ind w:firstLine="420" w:firstLineChars="200"/>
              <w:rPr>
                <w:rFonts w:hAnsi="宋体"/>
                <w:bCs/>
                <w:color w:val="auto"/>
                <w:szCs w:val="21"/>
                <w:highlight w:val="none"/>
              </w:rPr>
            </w:pPr>
            <w:r>
              <w:rPr>
                <w:rFonts w:hint="eastAsia"/>
                <w:color w:val="auto"/>
                <w:szCs w:val="21"/>
                <w:highlight w:val="none"/>
              </w:rPr>
              <w:t>②计算评标基准价：J=（A+B）/2。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997" w:type="dxa"/>
            <w:gridSpan w:val="2"/>
            <w:tcBorders>
              <w:bottom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2.2.3</w:t>
            </w:r>
          </w:p>
        </w:tc>
        <w:tc>
          <w:tcPr>
            <w:tcW w:w="2958" w:type="dxa"/>
            <w:tcBorders>
              <w:bottom w:val="single" w:color="auto" w:sz="4" w:space="0"/>
            </w:tcBorders>
            <w:vAlign w:val="center"/>
          </w:tcPr>
          <w:p>
            <w:pPr>
              <w:spacing w:line="360" w:lineRule="exact"/>
              <w:jc w:val="center"/>
              <w:rPr>
                <w:rFonts w:hAnsi="宋体"/>
                <w:bCs/>
                <w:color w:val="auto"/>
                <w:szCs w:val="21"/>
                <w:highlight w:val="none"/>
              </w:rPr>
            </w:pPr>
            <w:r>
              <w:rPr>
                <w:rFonts w:hint="eastAsia" w:hAnsi="宋体"/>
                <w:bCs/>
                <w:color w:val="auto"/>
                <w:szCs w:val="21"/>
                <w:highlight w:val="none"/>
              </w:rPr>
              <w:t>投标报价的偏差率         计算公式</w:t>
            </w:r>
          </w:p>
        </w:tc>
        <w:tc>
          <w:tcPr>
            <w:tcW w:w="5076" w:type="dxa"/>
            <w:vAlign w:val="center"/>
          </w:tcPr>
          <w:p>
            <w:pPr>
              <w:spacing w:line="360" w:lineRule="exact"/>
              <w:rPr>
                <w:rFonts w:hAnsi="宋体"/>
                <w:bCs/>
                <w:color w:val="auto"/>
                <w:szCs w:val="21"/>
                <w:highlight w:val="none"/>
              </w:rPr>
            </w:pPr>
            <w:r>
              <w:rPr>
                <w:rFonts w:hint="eastAsia" w:hAnsi="宋体"/>
                <w:bCs/>
                <w:color w:val="auto"/>
                <w:szCs w:val="21"/>
                <w:highlight w:val="none"/>
              </w:rPr>
              <w:t>偏差率=投标报价－评标基准价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97" w:type="dxa"/>
            <w:gridSpan w:val="2"/>
            <w:vAlign w:val="center"/>
          </w:tcPr>
          <w:p>
            <w:pPr>
              <w:spacing w:line="360" w:lineRule="exact"/>
              <w:jc w:val="center"/>
              <w:rPr>
                <w:b/>
                <w:color w:val="auto"/>
                <w:highlight w:val="none"/>
              </w:rPr>
            </w:pPr>
            <w:r>
              <w:rPr>
                <w:rFonts w:hint="eastAsia" w:ascii="宋体" w:hAnsi="宋体"/>
                <w:b/>
                <w:color w:val="auto"/>
                <w:szCs w:val="21"/>
                <w:highlight w:val="none"/>
              </w:rPr>
              <w:t>条款号</w:t>
            </w:r>
          </w:p>
        </w:tc>
        <w:tc>
          <w:tcPr>
            <w:tcW w:w="2958" w:type="dxa"/>
            <w:vAlign w:val="center"/>
          </w:tcPr>
          <w:p>
            <w:pPr>
              <w:spacing w:line="360" w:lineRule="exact"/>
              <w:jc w:val="center"/>
              <w:rPr>
                <w:b/>
                <w:color w:val="auto"/>
                <w:highlight w:val="none"/>
              </w:rPr>
            </w:pPr>
            <w:r>
              <w:rPr>
                <w:rFonts w:hint="eastAsia" w:ascii="宋体" w:hAnsi="宋体"/>
                <w:b/>
                <w:color w:val="auto"/>
                <w:szCs w:val="21"/>
                <w:highlight w:val="none"/>
              </w:rPr>
              <w:t>评分因素</w:t>
            </w:r>
          </w:p>
        </w:tc>
        <w:tc>
          <w:tcPr>
            <w:tcW w:w="5076" w:type="dxa"/>
            <w:vAlign w:val="center"/>
          </w:tcPr>
          <w:p>
            <w:pPr>
              <w:spacing w:line="360" w:lineRule="exact"/>
              <w:jc w:val="center"/>
              <w:rPr>
                <w:b/>
                <w:color w:val="auto"/>
                <w:highlight w:val="none"/>
              </w:rPr>
            </w:pPr>
            <w:r>
              <w:rPr>
                <w:rFonts w:hint="eastAsia"/>
                <w:b/>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trPr>
        <w:tc>
          <w:tcPr>
            <w:tcW w:w="907" w:type="dxa"/>
            <w:vAlign w:val="center"/>
          </w:tcPr>
          <w:p>
            <w:pPr>
              <w:spacing w:line="360" w:lineRule="exact"/>
              <w:jc w:val="center"/>
              <w:rPr>
                <w:rFonts w:ascii="宋体" w:hAnsi="宋体"/>
                <w:color w:val="auto"/>
                <w:highlight w:val="none"/>
              </w:rPr>
            </w:pPr>
            <w:r>
              <w:rPr>
                <w:rFonts w:hint="eastAsia" w:ascii="宋体" w:hAnsi="宋体"/>
                <w:color w:val="auto"/>
                <w:highlight w:val="none"/>
              </w:rPr>
              <w:t>2.2.4</w:t>
            </w:r>
          </w:p>
          <w:p>
            <w:pPr>
              <w:spacing w:line="360" w:lineRule="exact"/>
              <w:jc w:val="center"/>
              <w:rPr>
                <w:color w:val="auto"/>
                <w:highlight w:val="none"/>
              </w:rPr>
            </w:pPr>
            <w:r>
              <w:rPr>
                <w:rFonts w:hint="eastAsia" w:ascii="宋体" w:hAnsi="宋体"/>
                <w:color w:val="auto"/>
                <w:highlight w:val="none"/>
              </w:rPr>
              <w:t>(1)</w:t>
            </w:r>
          </w:p>
        </w:tc>
        <w:tc>
          <w:tcPr>
            <w:tcW w:w="1090"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技术标评分标准</w:t>
            </w:r>
          </w:p>
          <w:p>
            <w:pPr>
              <w:spacing w:line="360" w:lineRule="exact"/>
              <w:jc w:val="center"/>
              <w:rPr>
                <w:rFonts w:ascii="宋体" w:hAnsi="宋体"/>
                <w:color w:val="auto"/>
                <w:szCs w:val="21"/>
                <w:highlight w:val="none"/>
              </w:rPr>
            </w:pPr>
            <w:r>
              <w:rPr>
                <w:rFonts w:hint="eastAsia" w:ascii="宋体" w:hAnsi="宋体"/>
                <w:color w:val="auto"/>
                <w:spacing w:val="-10"/>
                <w:szCs w:val="21"/>
                <w:highlight w:val="none"/>
              </w:rPr>
              <w:t>（20分）</w:t>
            </w:r>
          </w:p>
        </w:tc>
        <w:tc>
          <w:tcPr>
            <w:tcW w:w="8034" w:type="dxa"/>
            <w:gridSpan w:val="2"/>
          </w:tcPr>
          <w:p>
            <w:pPr>
              <w:rPr>
                <w:color w:val="auto"/>
                <w:szCs w:val="21"/>
                <w:highlight w:val="none"/>
              </w:rPr>
            </w:pPr>
            <w:r>
              <w:rPr>
                <w:rFonts w:hint="eastAsia"/>
                <w:color w:val="auto"/>
                <w:szCs w:val="21"/>
                <w:highlight w:val="none"/>
              </w:rPr>
              <w:t xml:space="preserve">1、监理大纲的内容是否全面（0-2分）；                                </w:t>
            </w:r>
          </w:p>
          <w:p>
            <w:pPr>
              <w:rPr>
                <w:color w:val="auto"/>
                <w:szCs w:val="21"/>
                <w:highlight w:val="none"/>
              </w:rPr>
            </w:pPr>
            <w:r>
              <w:rPr>
                <w:rFonts w:hint="eastAsia"/>
                <w:color w:val="auto"/>
                <w:szCs w:val="21"/>
                <w:highlight w:val="none"/>
              </w:rPr>
              <w:t xml:space="preserve">2、监理大纲中对相关人员的组织分工是否明确（0-2分）；              </w:t>
            </w:r>
          </w:p>
          <w:p>
            <w:pPr>
              <w:rPr>
                <w:color w:val="auto"/>
                <w:szCs w:val="21"/>
                <w:highlight w:val="none"/>
              </w:rPr>
            </w:pPr>
            <w:r>
              <w:rPr>
                <w:rFonts w:hint="eastAsia"/>
                <w:color w:val="auto"/>
                <w:szCs w:val="21"/>
                <w:highlight w:val="none"/>
              </w:rPr>
              <w:t>3、项目总监、总监代表、监理工程师、监理员的权利和责任是否明确（0-2分）；</w:t>
            </w:r>
          </w:p>
          <w:p>
            <w:pPr>
              <w:rPr>
                <w:color w:val="auto"/>
                <w:szCs w:val="21"/>
                <w:highlight w:val="none"/>
              </w:rPr>
            </w:pPr>
            <w:r>
              <w:rPr>
                <w:rFonts w:hint="eastAsia"/>
                <w:color w:val="auto"/>
                <w:szCs w:val="21"/>
                <w:highlight w:val="none"/>
              </w:rPr>
              <w:t xml:space="preserve">4、监理大纲中对项目全过程代建开发中的监理管理和工程施工的难点、要点和关键部位是否阐明，质量控制的保证措施和手段的是否科学（0-2分）；                                   </w:t>
            </w:r>
          </w:p>
          <w:p>
            <w:pPr>
              <w:rPr>
                <w:color w:val="auto"/>
                <w:szCs w:val="21"/>
                <w:highlight w:val="none"/>
              </w:rPr>
            </w:pPr>
            <w:r>
              <w:rPr>
                <w:rFonts w:hint="eastAsia"/>
                <w:color w:val="auto"/>
                <w:szCs w:val="21"/>
                <w:highlight w:val="none"/>
              </w:rPr>
              <w:t xml:space="preserve">5、监理大纲中对项目进度目标控制的手段是否科学（0-2分）；            </w:t>
            </w:r>
          </w:p>
          <w:p>
            <w:pPr>
              <w:rPr>
                <w:color w:val="auto"/>
                <w:szCs w:val="21"/>
                <w:highlight w:val="none"/>
              </w:rPr>
            </w:pPr>
            <w:r>
              <w:rPr>
                <w:rFonts w:hint="eastAsia"/>
                <w:color w:val="auto"/>
                <w:szCs w:val="21"/>
                <w:highlight w:val="none"/>
              </w:rPr>
              <w:t>6、监理大纲中对工程</w:t>
            </w:r>
            <w:r>
              <w:rPr>
                <w:rFonts w:ascii="宋体" w:hAnsi="宋体"/>
                <w:color w:val="auto"/>
                <w:highlight w:val="none"/>
              </w:rPr>
              <w:t>投资目标控制、手段及</w:t>
            </w:r>
            <w:r>
              <w:rPr>
                <w:rFonts w:hint="eastAsia"/>
                <w:color w:val="auto"/>
                <w:szCs w:val="21"/>
                <w:highlight w:val="none"/>
              </w:rPr>
              <w:t xml:space="preserve">方法是否合理、可行（0-2分）；          </w:t>
            </w:r>
          </w:p>
          <w:p>
            <w:pPr>
              <w:rPr>
                <w:color w:val="auto"/>
                <w:szCs w:val="21"/>
                <w:highlight w:val="none"/>
              </w:rPr>
            </w:pPr>
            <w:r>
              <w:rPr>
                <w:rFonts w:hint="eastAsia"/>
                <w:color w:val="auto"/>
                <w:szCs w:val="21"/>
                <w:highlight w:val="none"/>
              </w:rPr>
              <w:t xml:space="preserve">7、关键部位的旁站监理方案是否完整、可行（0-2分）；                 </w:t>
            </w:r>
          </w:p>
          <w:p>
            <w:pPr>
              <w:rPr>
                <w:color w:val="auto"/>
                <w:szCs w:val="21"/>
                <w:highlight w:val="none"/>
              </w:rPr>
            </w:pPr>
            <w:r>
              <w:rPr>
                <w:rFonts w:hint="eastAsia"/>
                <w:color w:val="auto"/>
                <w:szCs w:val="21"/>
                <w:highlight w:val="none"/>
              </w:rPr>
              <w:t xml:space="preserve">8、核定实际完成工程量的方法是否可行，其准确性的保证措施是否有力（0-2分）；                                                          </w:t>
            </w:r>
          </w:p>
          <w:p>
            <w:pPr>
              <w:rPr>
                <w:color w:val="auto"/>
                <w:szCs w:val="21"/>
                <w:highlight w:val="none"/>
              </w:rPr>
            </w:pPr>
            <w:r>
              <w:rPr>
                <w:rFonts w:hint="eastAsia"/>
                <w:color w:val="auto"/>
                <w:szCs w:val="21"/>
                <w:highlight w:val="none"/>
              </w:rPr>
              <w:t xml:space="preserve">9、现场安全、文明施工的管理措施是否全面（0-2分）；                  </w:t>
            </w:r>
          </w:p>
          <w:p>
            <w:pPr>
              <w:spacing w:line="320" w:lineRule="exact"/>
              <w:jc w:val="left"/>
              <w:rPr>
                <w:rFonts w:ascii="宋体" w:hAnsi="宋体"/>
                <w:color w:val="auto"/>
                <w:szCs w:val="21"/>
                <w:highlight w:val="none"/>
              </w:rPr>
            </w:pPr>
            <w:r>
              <w:rPr>
                <w:rFonts w:hint="eastAsia"/>
                <w:color w:val="auto"/>
                <w:szCs w:val="21"/>
                <w:highlight w:val="none"/>
              </w:rPr>
              <w:t>10、对全过程代建开发、业主、设计、施工及</w:t>
            </w:r>
            <w:r>
              <w:rPr>
                <w:rFonts w:ascii="宋体" w:hAnsi="宋体"/>
                <w:color w:val="auto"/>
                <w:highlight w:val="none"/>
              </w:rPr>
              <w:t>各专业工程配合协调管理</w:t>
            </w:r>
            <w:r>
              <w:rPr>
                <w:rFonts w:hint="eastAsia"/>
                <w:color w:val="auto"/>
                <w:szCs w:val="21"/>
                <w:highlight w:val="none"/>
              </w:rPr>
              <w:t xml:space="preserve">的监理合理化建议（0-2分）。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0" w:hRule="atLeast"/>
        </w:trPr>
        <w:tc>
          <w:tcPr>
            <w:tcW w:w="907" w:type="dxa"/>
            <w:vAlign w:val="center"/>
          </w:tcPr>
          <w:p>
            <w:pPr>
              <w:spacing w:line="360" w:lineRule="exact"/>
              <w:rPr>
                <w:rFonts w:ascii="宋体" w:hAnsi="宋体"/>
                <w:color w:val="auto"/>
                <w:highlight w:val="none"/>
              </w:rPr>
            </w:pPr>
            <w:r>
              <w:rPr>
                <w:rFonts w:hint="eastAsia" w:ascii="宋体" w:hAnsi="宋体"/>
                <w:color w:val="auto"/>
                <w:highlight w:val="none"/>
              </w:rPr>
              <w:t>2.2.4（2）</w:t>
            </w:r>
          </w:p>
        </w:tc>
        <w:tc>
          <w:tcPr>
            <w:tcW w:w="1090" w:type="dxa"/>
            <w:vAlign w:val="center"/>
          </w:tcPr>
          <w:p>
            <w:pPr>
              <w:spacing w:line="360" w:lineRule="exact"/>
              <w:jc w:val="center"/>
              <w:rPr>
                <w:rFonts w:ascii="宋体" w:hAnsi="宋体"/>
                <w:color w:val="auto"/>
                <w:szCs w:val="21"/>
                <w:highlight w:val="none"/>
              </w:rPr>
            </w:pPr>
            <w:r>
              <w:rPr>
                <w:rFonts w:hint="eastAsia"/>
                <w:color w:val="auto"/>
                <w:highlight w:val="none"/>
              </w:rPr>
              <w:t>资信标评定标准 （5</w:t>
            </w:r>
            <w:r>
              <w:rPr>
                <w:rFonts w:hint="eastAsia" w:ascii="宋体" w:hAnsi="宋体"/>
                <w:color w:val="auto"/>
                <w:highlight w:val="none"/>
              </w:rPr>
              <w:t>分</w:t>
            </w:r>
            <w:r>
              <w:rPr>
                <w:rFonts w:hint="eastAsia"/>
                <w:color w:val="auto"/>
                <w:highlight w:val="none"/>
              </w:rPr>
              <w:t>）</w:t>
            </w:r>
          </w:p>
        </w:tc>
        <w:tc>
          <w:tcPr>
            <w:tcW w:w="8034" w:type="dxa"/>
            <w:gridSpan w:val="2"/>
          </w:tcPr>
          <w:p>
            <w:pPr>
              <w:spacing w:line="340" w:lineRule="exact"/>
              <w:jc w:val="left"/>
              <w:rPr>
                <w:rFonts w:ascii="宋体" w:hAnsi="宋体"/>
                <w:color w:val="auto"/>
                <w:spacing w:val="-6"/>
                <w:szCs w:val="21"/>
                <w:highlight w:val="none"/>
              </w:rPr>
            </w:pPr>
            <w:r>
              <w:rPr>
                <w:rFonts w:hint="eastAsia" w:ascii="宋体" w:hAnsi="宋体"/>
                <w:color w:val="auto"/>
                <w:spacing w:val="-6"/>
                <w:szCs w:val="21"/>
                <w:highlight w:val="none"/>
              </w:rPr>
              <w:t>（1）投标人同时具有ISO三体系论证（质量体系、环境体系、职业健康安全体系）且在有效期内的，得1分。                                                        (0-1分)</w:t>
            </w:r>
            <w:r>
              <w:rPr>
                <w:rFonts w:hint="eastAsia" w:ascii="宋体" w:hAnsi="宋体"/>
                <w:color w:val="auto"/>
                <w:spacing w:val="-6"/>
                <w:szCs w:val="21"/>
                <w:highlight w:val="none"/>
              </w:rPr>
              <w:t>（2）投标人获</w:t>
            </w:r>
            <w:r>
              <w:rPr>
                <w:rFonts w:hint="eastAsia" w:ascii="宋体" w:hAnsi="宋体"/>
                <w:color w:val="auto"/>
                <w:spacing w:val="-6"/>
                <w:szCs w:val="21"/>
                <w:highlight w:val="none"/>
                <w:lang w:eastAsia="zh-CN"/>
              </w:rPr>
              <w:t>县、</w:t>
            </w:r>
            <w:r>
              <w:rPr>
                <w:rFonts w:hint="eastAsia" w:ascii="宋体" w:hAnsi="宋体"/>
                <w:color w:val="auto"/>
                <w:spacing w:val="-6"/>
                <w:szCs w:val="21"/>
                <w:highlight w:val="none"/>
              </w:rPr>
              <w:t>区</w:t>
            </w:r>
            <w:r>
              <w:rPr>
                <w:rFonts w:hint="eastAsia" w:ascii="宋体" w:hAnsi="宋体"/>
                <w:color w:val="auto"/>
                <w:spacing w:val="-6"/>
                <w:szCs w:val="21"/>
                <w:highlight w:val="none"/>
                <w:lang w:eastAsia="zh-CN"/>
              </w:rPr>
              <w:t>级及以上建设行政主管部门或人民政府</w:t>
            </w:r>
            <w:r>
              <w:rPr>
                <w:rFonts w:hint="eastAsia" w:ascii="宋体" w:hAnsi="宋体"/>
                <w:color w:val="auto"/>
                <w:spacing w:val="-6"/>
                <w:szCs w:val="21"/>
                <w:highlight w:val="none"/>
              </w:rPr>
              <w:t>通报表扬的得</w:t>
            </w:r>
            <w:r>
              <w:rPr>
                <w:rFonts w:hint="eastAsia" w:ascii="宋体" w:hAnsi="宋体"/>
                <w:color w:val="auto"/>
                <w:spacing w:val="-6"/>
                <w:szCs w:val="21"/>
                <w:highlight w:val="none"/>
                <w:lang w:val="en-US" w:eastAsia="zh-CN"/>
              </w:rPr>
              <w:t>1</w:t>
            </w:r>
            <w:r>
              <w:rPr>
                <w:rFonts w:hint="eastAsia" w:ascii="宋体" w:hAnsi="宋体"/>
                <w:color w:val="auto"/>
                <w:spacing w:val="-6"/>
                <w:szCs w:val="21"/>
                <w:highlight w:val="none"/>
              </w:rPr>
              <w:t>分。</w:t>
            </w:r>
            <w:r>
              <w:rPr>
                <w:rFonts w:hint="eastAsia" w:ascii="宋体" w:hAnsi="宋体"/>
                <w:color w:val="auto"/>
                <w:spacing w:val="-6"/>
                <w:szCs w:val="21"/>
                <w:highlight w:val="none"/>
              </w:rPr>
              <w:t xml:space="preserve">（0-1分）                                                 </w:t>
            </w:r>
          </w:p>
          <w:p>
            <w:pPr>
              <w:spacing w:line="320" w:lineRule="exact"/>
              <w:jc w:val="left"/>
              <w:rPr>
                <w:rFonts w:ascii="宋体" w:hAnsi="宋体"/>
                <w:color w:val="auto"/>
                <w:spacing w:val="-6"/>
                <w:szCs w:val="21"/>
                <w:highlight w:val="none"/>
              </w:rPr>
            </w:pPr>
            <w:r>
              <w:rPr>
                <w:rFonts w:hint="eastAsia" w:ascii="宋体" w:hAnsi="宋体"/>
                <w:color w:val="auto"/>
                <w:spacing w:val="-6"/>
                <w:szCs w:val="21"/>
                <w:highlight w:val="none"/>
              </w:rPr>
              <w:t>（3）投标人</w:t>
            </w:r>
            <w:r>
              <w:rPr>
                <w:rFonts w:ascii="宋体" w:hAnsi="宋体"/>
                <w:color w:val="auto"/>
                <w:spacing w:val="-6"/>
                <w:szCs w:val="21"/>
                <w:highlight w:val="none"/>
              </w:rPr>
              <w:t>自20</w:t>
            </w:r>
            <w:r>
              <w:rPr>
                <w:rFonts w:hint="eastAsia" w:ascii="宋体" w:hAnsi="宋体"/>
                <w:color w:val="auto"/>
                <w:spacing w:val="-6"/>
                <w:szCs w:val="21"/>
                <w:highlight w:val="none"/>
              </w:rPr>
              <w:t>17</w:t>
            </w:r>
            <w:r>
              <w:rPr>
                <w:rFonts w:ascii="宋体" w:hAnsi="宋体"/>
                <w:color w:val="auto"/>
                <w:spacing w:val="-6"/>
                <w:szCs w:val="21"/>
                <w:highlight w:val="none"/>
              </w:rPr>
              <w:t>年</w:t>
            </w:r>
            <w:r>
              <w:rPr>
                <w:rFonts w:hint="eastAsia" w:ascii="宋体" w:hAnsi="宋体"/>
                <w:color w:val="auto"/>
                <w:spacing w:val="-6"/>
                <w:szCs w:val="21"/>
                <w:highlight w:val="none"/>
              </w:rPr>
              <w:t>1</w:t>
            </w:r>
            <w:r>
              <w:rPr>
                <w:rFonts w:ascii="宋体" w:hAnsi="宋体"/>
                <w:color w:val="auto"/>
                <w:spacing w:val="-6"/>
                <w:szCs w:val="21"/>
                <w:highlight w:val="none"/>
              </w:rPr>
              <w:t>月1日</w:t>
            </w:r>
            <w:r>
              <w:rPr>
                <w:rFonts w:hint="eastAsia" w:ascii="宋体" w:hAnsi="宋体"/>
                <w:color w:val="auto"/>
                <w:spacing w:val="-6"/>
                <w:szCs w:val="21"/>
                <w:highlight w:val="none"/>
              </w:rPr>
              <w:t>以来监理过的建筑工程获得过设区市级建设工程优质工程奖项得0.5分；获得过省级及以上建设工程优质工程奖项得1分</w:t>
            </w:r>
            <w:r>
              <w:rPr>
                <w:rFonts w:hint="eastAsia" w:ascii="宋体" w:hAnsi="宋体"/>
                <w:color w:val="auto"/>
                <w:spacing w:val="-6"/>
                <w:szCs w:val="21"/>
                <w:highlight w:val="none"/>
              </w:rPr>
              <w:t>。</w:t>
            </w:r>
            <w:r>
              <w:rPr>
                <w:rFonts w:ascii="宋体" w:hAnsi="宋体"/>
                <w:color w:val="auto"/>
                <w:spacing w:val="-6"/>
                <w:szCs w:val="21"/>
                <w:highlight w:val="none"/>
              </w:rPr>
              <w:t>【1</w:t>
            </w:r>
            <w:r>
              <w:rPr>
                <w:rFonts w:hint="eastAsia" w:ascii="宋体" w:hAnsi="宋体"/>
                <w:color w:val="auto"/>
                <w:spacing w:val="-6"/>
                <w:szCs w:val="21"/>
                <w:highlight w:val="none"/>
              </w:rPr>
              <w:t>、投标人荣誉（或奖项）的时间均以获奖文件发文日期为准，荣誉（或奖项）得分不累加，按最高荣誉（或奖项）得分计取；</w:t>
            </w:r>
            <w:r>
              <w:rPr>
                <w:rFonts w:ascii="宋体" w:hAnsi="宋体"/>
                <w:color w:val="auto"/>
                <w:spacing w:val="-6"/>
                <w:szCs w:val="21"/>
                <w:highlight w:val="none"/>
              </w:rPr>
              <w:t>2</w:t>
            </w:r>
            <w:r>
              <w:rPr>
                <w:rFonts w:hint="eastAsia" w:ascii="宋体" w:hAnsi="宋体"/>
                <w:color w:val="auto"/>
                <w:spacing w:val="-6"/>
                <w:szCs w:val="21"/>
                <w:highlight w:val="none"/>
              </w:rPr>
              <w:t>、“设区市建设工程优质工程奖”是指“双龙杯奖”等同类型综合性奖项；“省级及以上建设工程优质工程奖”指“钱江杯”、“鲁班奖”等同类型综合性奖项；</w:t>
            </w:r>
            <w:r>
              <w:rPr>
                <w:rFonts w:ascii="宋体" w:hAnsi="宋体"/>
                <w:color w:val="auto"/>
                <w:spacing w:val="-6"/>
                <w:szCs w:val="21"/>
                <w:highlight w:val="none"/>
              </w:rPr>
              <w:t>3</w:t>
            </w:r>
            <w:r>
              <w:rPr>
                <w:rFonts w:hint="eastAsia" w:ascii="宋体" w:hAnsi="宋体"/>
                <w:color w:val="auto"/>
                <w:spacing w:val="-6"/>
                <w:szCs w:val="21"/>
                <w:highlight w:val="none"/>
              </w:rPr>
              <w:t>、应附</w:t>
            </w:r>
            <w:r>
              <w:rPr>
                <w:rFonts w:ascii="宋体" w:hAnsi="宋体"/>
                <w:color w:val="auto"/>
                <w:spacing w:val="-6"/>
                <w:szCs w:val="21"/>
                <w:highlight w:val="none"/>
              </w:rPr>
              <w:t>获荣誉（或奖项）文件复印件（加盖单位章）及带网址的网上公布文件，原件开标时备查，否则不得分</w:t>
            </w:r>
            <w:r>
              <w:rPr>
                <w:rFonts w:hint="eastAsia" w:ascii="宋体" w:hAnsi="宋体"/>
                <w:color w:val="auto"/>
                <w:spacing w:val="-6"/>
                <w:szCs w:val="21"/>
                <w:highlight w:val="none"/>
              </w:rPr>
              <w:t>；4、多个项目不累加）</w:t>
            </w:r>
            <w:r>
              <w:rPr>
                <w:rFonts w:ascii="宋体" w:hAnsi="宋体"/>
                <w:color w:val="auto"/>
                <w:spacing w:val="-6"/>
                <w:szCs w:val="21"/>
                <w:highlight w:val="none"/>
              </w:rPr>
              <w:t>】</w:t>
            </w:r>
            <w:r>
              <w:rPr>
                <w:rFonts w:hint="eastAsia" w:ascii="宋体" w:hAnsi="宋体"/>
                <w:color w:val="auto"/>
                <w:spacing w:val="-6"/>
                <w:szCs w:val="21"/>
                <w:highlight w:val="none"/>
              </w:rPr>
              <w:t>。                                   （0-1分）</w:t>
            </w:r>
          </w:p>
          <w:p>
            <w:pPr>
              <w:spacing w:line="340" w:lineRule="exact"/>
              <w:jc w:val="left"/>
              <w:rPr>
                <w:rFonts w:ascii="宋体" w:hAnsi="宋体"/>
                <w:color w:val="auto"/>
                <w:spacing w:val="-6"/>
                <w:szCs w:val="21"/>
                <w:highlight w:val="none"/>
              </w:rPr>
            </w:pPr>
            <w:r>
              <w:rPr>
                <w:rFonts w:hint="eastAsia" w:ascii="宋体" w:hAnsi="宋体"/>
                <w:color w:val="auto"/>
                <w:spacing w:val="-6"/>
                <w:szCs w:val="21"/>
                <w:highlight w:val="none"/>
              </w:rPr>
              <w:t>（4）投标人近三年（2017年1月1日至今，时间以获奖证书上的落款时间为准）获得过设区市诚信经营示范单位或设区市诚信企业的得1分。                         （0-1分）</w:t>
            </w:r>
          </w:p>
          <w:p>
            <w:pPr>
              <w:spacing w:line="320" w:lineRule="exact"/>
              <w:jc w:val="left"/>
              <w:rPr>
                <w:rFonts w:ascii="宋体" w:hAnsi="宋体"/>
                <w:color w:val="auto"/>
                <w:spacing w:val="-6"/>
                <w:szCs w:val="21"/>
                <w:highlight w:val="none"/>
              </w:rPr>
            </w:pPr>
            <w:r>
              <w:rPr>
                <w:rFonts w:hint="eastAsia" w:ascii="宋体" w:hAnsi="宋体"/>
                <w:color w:val="auto"/>
                <w:spacing w:val="-6"/>
                <w:szCs w:val="21"/>
                <w:highlight w:val="none"/>
              </w:rPr>
              <w:t>（5）拟派项目总监理工程师以总监理工程师身份承担过总建筑面积≥</w:t>
            </w:r>
            <w:r>
              <w:rPr>
                <w:rFonts w:hint="eastAsia" w:ascii="宋体" w:hAnsi="宋体"/>
                <w:color w:val="auto"/>
                <w:spacing w:val="-6"/>
                <w:szCs w:val="21"/>
                <w:highlight w:val="none"/>
                <w:lang w:val="en-US" w:eastAsia="zh-CN"/>
              </w:rPr>
              <w:t>10</w:t>
            </w:r>
            <w:r>
              <w:rPr>
                <w:rFonts w:hint="eastAsia" w:ascii="宋体" w:hAnsi="宋体"/>
                <w:color w:val="auto"/>
                <w:spacing w:val="-6"/>
                <w:szCs w:val="21"/>
                <w:highlight w:val="none"/>
              </w:rPr>
              <w:t>万平方米</w:t>
            </w:r>
            <w:r>
              <w:rPr>
                <w:rFonts w:hint="eastAsia" w:ascii="宋体" w:hAnsi="宋体"/>
                <w:color w:val="auto"/>
                <w:spacing w:val="-6"/>
                <w:szCs w:val="21"/>
                <w:highlight w:val="none"/>
              </w:rPr>
              <w:t>住宅小区项目监理的得0.5分（</w:t>
            </w:r>
            <w:r>
              <w:rPr>
                <w:rFonts w:ascii="宋体" w:hAnsi="宋体"/>
                <w:color w:val="auto"/>
                <w:spacing w:val="-6"/>
                <w:szCs w:val="21"/>
                <w:highlight w:val="none"/>
              </w:rPr>
              <w:t>须提供</w:t>
            </w:r>
            <w:r>
              <w:rPr>
                <w:rFonts w:hint="eastAsia" w:ascii="宋体" w:hAnsi="宋体"/>
                <w:color w:val="auto"/>
                <w:spacing w:val="-6"/>
                <w:szCs w:val="21"/>
                <w:highlight w:val="none"/>
              </w:rPr>
              <w:t>中标通知书及委托</w:t>
            </w:r>
            <w:r>
              <w:rPr>
                <w:rFonts w:ascii="宋体" w:hAnsi="宋体"/>
                <w:color w:val="auto"/>
                <w:spacing w:val="-6"/>
                <w:szCs w:val="21"/>
                <w:highlight w:val="none"/>
              </w:rPr>
              <w:t>监理</w:t>
            </w:r>
            <w:r>
              <w:rPr>
                <w:rFonts w:hint="eastAsia" w:ascii="宋体" w:hAnsi="宋体"/>
                <w:color w:val="auto"/>
                <w:spacing w:val="-6"/>
                <w:szCs w:val="21"/>
                <w:highlight w:val="none"/>
              </w:rPr>
              <w:t>合同等证明材料）。    （0-0.5分）</w:t>
            </w:r>
          </w:p>
          <w:p>
            <w:pPr>
              <w:spacing w:line="340" w:lineRule="exact"/>
              <w:jc w:val="left"/>
              <w:rPr>
                <w:rFonts w:ascii="宋体" w:hAnsi="宋体"/>
                <w:color w:val="auto"/>
                <w:spacing w:val="-6"/>
                <w:szCs w:val="21"/>
                <w:highlight w:val="none"/>
              </w:rPr>
            </w:pPr>
            <w:r>
              <w:rPr>
                <w:rFonts w:hint="eastAsia" w:ascii="宋体" w:hAnsi="宋体"/>
                <w:color w:val="auto"/>
                <w:spacing w:val="-6"/>
                <w:szCs w:val="21"/>
                <w:highlight w:val="none"/>
              </w:rPr>
              <w:t>（6）拟派项目总监具有由建设主管部门或任职主管部门评审的工程类高级及以上技术职称的得0.5分。                                                            （0-0.5分）</w:t>
            </w:r>
          </w:p>
          <w:p>
            <w:pPr>
              <w:spacing w:line="340" w:lineRule="exact"/>
              <w:jc w:val="left"/>
              <w:rPr>
                <w:rFonts w:ascii="宋体" w:hAnsi="宋体"/>
                <w:color w:val="auto"/>
                <w:spacing w:val="-6"/>
                <w:szCs w:val="21"/>
                <w:highlight w:val="none"/>
              </w:rPr>
            </w:pPr>
            <w:r>
              <w:rPr>
                <w:rFonts w:hint="eastAsia" w:ascii="宋体" w:hAnsi="宋体"/>
                <w:color w:val="auto"/>
                <w:spacing w:val="-6"/>
                <w:szCs w:val="21"/>
                <w:highlight w:val="none"/>
              </w:rPr>
              <w:t>投标人须提供以上内容加盖单位章的复印件，否则不予计分。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907" w:type="dxa"/>
            <w:vMerge w:val="restart"/>
            <w:vAlign w:val="center"/>
          </w:tcPr>
          <w:p>
            <w:pPr>
              <w:spacing w:line="360" w:lineRule="exact"/>
              <w:rPr>
                <w:rFonts w:ascii="宋体" w:hAnsi="宋体"/>
                <w:color w:val="auto"/>
                <w:highlight w:val="none"/>
              </w:rPr>
            </w:pPr>
            <w:r>
              <w:rPr>
                <w:rFonts w:hint="eastAsia" w:ascii="宋体" w:hAnsi="宋体"/>
                <w:color w:val="auto"/>
                <w:highlight w:val="none"/>
              </w:rPr>
              <w:t>2.2.4（3）</w:t>
            </w:r>
          </w:p>
          <w:p>
            <w:pPr>
              <w:spacing w:line="360" w:lineRule="exact"/>
              <w:rPr>
                <w:rFonts w:ascii="宋体" w:hAnsi="宋体"/>
                <w:color w:val="auto"/>
                <w:highlight w:val="none"/>
              </w:rPr>
            </w:pPr>
            <w:r>
              <w:rPr>
                <w:rFonts w:hint="eastAsia" w:ascii="宋体" w:hAnsi="宋体"/>
                <w:color w:val="auto"/>
                <w:highlight w:val="none"/>
              </w:rPr>
              <w:t>商务标评分办法</w:t>
            </w:r>
          </w:p>
        </w:tc>
        <w:tc>
          <w:tcPr>
            <w:tcW w:w="1090" w:type="dxa"/>
            <w:vAlign w:val="center"/>
          </w:tcPr>
          <w:p>
            <w:pPr>
              <w:spacing w:line="360" w:lineRule="exact"/>
              <w:jc w:val="center"/>
              <w:rPr>
                <w:rFonts w:ascii="宋体" w:hAnsi="宋体"/>
                <w:color w:val="auto"/>
                <w:highlight w:val="none"/>
              </w:rPr>
            </w:pPr>
            <w:r>
              <w:rPr>
                <w:rFonts w:hint="eastAsia" w:ascii="宋体" w:hAnsi="宋体"/>
                <w:color w:val="auto"/>
                <w:highlight w:val="none"/>
              </w:rPr>
              <w:t>无效报价的确定</w:t>
            </w:r>
          </w:p>
        </w:tc>
        <w:tc>
          <w:tcPr>
            <w:tcW w:w="8034" w:type="dxa"/>
            <w:gridSpan w:val="2"/>
            <w:vAlign w:val="center"/>
          </w:tcPr>
          <w:p>
            <w:pPr>
              <w:spacing w:line="360" w:lineRule="exact"/>
              <w:jc w:val="center"/>
              <w:rPr>
                <w:color w:val="auto"/>
                <w:highlight w:val="none"/>
              </w:rPr>
            </w:pPr>
            <w:r>
              <w:rPr>
                <w:rFonts w:hint="eastAsia"/>
                <w:color w:val="auto"/>
                <w:highlight w:val="none"/>
              </w:rPr>
              <w:t>若投标单位的投标</w:t>
            </w:r>
            <w:r>
              <w:rPr>
                <w:rFonts w:hint="eastAsia" w:ascii="宋体" w:hAnsi="宋体"/>
                <w:color w:val="auto"/>
                <w:szCs w:val="21"/>
                <w:highlight w:val="none"/>
              </w:rPr>
              <w:t>百分比</w:t>
            </w:r>
            <w:r>
              <w:rPr>
                <w:rFonts w:hint="eastAsia"/>
                <w:color w:val="auto"/>
                <w:highlight w:val="none"/>
              </w:rPr>
              <w:t>未在有效报价</w:t>
            </w:r>
            <w:r>
              <w:rPr>
                <w:rFonts w:hint="eastAsia" w:ascii="宋体" w:hAnsi="宋体"/>
                <w:color w:val="auto"/>
                <w:szCs w:val="21"/>
                <w:highlight w:val="none"/>
              </w:rPr>
              <w:t>百分比</w:t>
            </w:r>
            <w:r>
              <w:rPr>
                <w:rFonts w:hint="eastAsia"/>
                <w:color w:val="auto"/>
                <w:highlight w:val="none"/>
              </w:rPr>
              <w:t>范围【</w:t>
            </w:r>
            <w:r>
              <w:rPr>
                <w:rFonts w:hint="eastAsia" w:ascii="Arial" w:hAnsi="Arial"/>
                <w:b/>
                <w:bCs/>
                <w:color w:val="auto"/>
                <w:szCs w:val="28"/>
                <w:highlight w:val="none"/>
              </w:rPr>
              <w:t>（发改价格【2007】670号）文件规定收费标准的</w:t>
            </w:r>
            <w:r>
              <w:rPr>
                <w:rFonts w:hint="eastAsia" w:ascii="Arial" w:hAnsi="Arial"/>
                <w:b/>
                <w:bCs/>
                <w:color w:val="auto"/>
                <w:szCs w:val="28"/>
                <w:highlight w:val="none"/>
              </w:rPr>
              <w:t>60%（含）～70%</w:t>
            </w:r>
            <w:r>
              <w:rPr>
                <w:rFonts w:hint="eastAsia" w:ascii="Arial" w:hAnsi="Arial"/>
                <w:b/>
                <w:bCs/>
                <w:color w:val="auto"/>
                <w:szCs w:val="28"/>
                <w:highlight w:val="none"/>
              </w:rPr>
              <w:t>（含），百分号前最多保留两位小数</w:t>
            </w:r>
            <w:r>
              <w:rPr>
                <w:rFonts w:hint="eastAsia"/>
                <w:color w:val="auto"/>
                <w:highlight w:val="none"/>
              </w:rPr>
              <w:t>】内的</w:t>
            </w:r>
          </w:p>
          <w:p>
            <w:pPr>
              <w:spacing w:line="360" w:lineRule="exact"/>
              <w:rPr>
                <w:rFonts w:ascii="宋体" w:hAnsi="宋体"/>
                <w:b/>
                <w:bCs/>
                <w:color w:val="auto"/>
                <w:sz w:val="24"/>
                <w:highlight w:val="none"/>
              </w:rPr>
            </w:pPr>
            <w:r>
              <w:rPr>
                <w:rFonts w:hint="eastAsia"/>
                <w:color w:val="auto"/>
                <w:highlight w:val="none"/>
              </w:rPr>
              <w:t>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907" w:type="dxa"/>
            <w:vMerge w:val="continue"/>
            <w:vAlign w:val="center"/>
          </w:tcPr>
          <w:p>
            <w:pPr>
              <w:spacing w:line="360" w:lineRule="exact"/>
              <w:rPr>
                <w:rFonts w:ascii="宋体" w:hAnsi="宋体"/>
                <w:color w:val="auto"/>
                <w:highlight w:val="none"/>
              </w:rPr>
            </w:pPr>
          </w:p>
        </w:tc>
        <w:tc>
          <w:tcPr>
            <w:tcW w:w="1090" w:type="dxa"/>
            <w:vAlign w:val="center"/>
          </w:tcPr>
          <w:p>
            <w:pPr>
              <w:spacing w:line="360" w:lineRule="exact"/>
              <w:jc w:val="center"/>
              <w:rPr>
                <w:rFonts w:ascii="宋体" w:hAnsi="宋体"/>
                <w:color w:val="auto"/>
                <w:highlight w:val="none"/>
              </w:rPr>
            </w:pPr>
            <w:r>
              <w:rPr>
                <w:rFonts w:hint="eastAsia" w:ascii="宋体" w:hAnsi="宋体"/>
                <w:color w:val="auto"/>
                <w:highlight w:val="none"/>
              </w:rPr>
              <w:t>报价分（75分）</w:t>
            </w:r>
          </w:p>
        </w:tc>
        <w:tc>
          <w:tcPr>
            <w:tcW w:w="8034" w:type="dxa"/>
            <w:gridSpan w:val="2"/>
          </w:tcPr>
          <w:p>
            <w:pPr>
              <w:spacing w:line="400" w:lineRule="exact"/>
              <w:ind w:firstLine="420" w:firstLineChars="200"/>
              <w:rPr>
                <w:color w:val="auto"/>
                <w:highlight w:val="none"/>
              </w:rPr>
            </w:pPr>
            <w:r>
              <w:rPr>
                <w:rFonts w:hint="eastAsia"/>
                <w:color w:val="auto"/>
                <w:highlight w:val="none"/>
              </w:rPr>
              <w:t>偏差率为零的有效报价得75分；</w:t>
            </w:r>
          </w:p>
          <w:p>
            <w:pPr>
              <w:spacing w:line="400" w:lineRule="exact"/>
              <w:ind w:firstLine="420" w:firstLineChars="200"/>
              <w:rPr>
                <w:rFonts w:ascii="宋体" w:hAnsi="宋体" w:cs="宋体"/>
                <w:color w:val="auto"/>
                <w:highlight w:val="none"/>
              </w:rPr>
            </w:pPr>
            <w:r>
              <w:rPr>
                <w:rFonts w:hint="eastAsia"/>
                <w:color w:val="auto"/>
                <w:highlight w:val="none"/>
              </w:rPr>
              <w:t>偏差率为正值的有效报价，每偏差1个百分点扣</w:t>
            </w:r>
            <w:r>
              <w:rPr>
                <w:rFonts w:hint="eastAsia"/>
                <w:color w:val="auto"/>
                <w:highlight w:val="none"/>
                <w:u w:val="single"/>
              </w:rPr>
              <w:t>0.5</w:t>
            </w:r>
            <w:r>
              <w:rPr>
                <w:rFonts w:hint="eastAsia"/>
                <w:color w:val="auto"/>
                <w:highlight w:val="none"/>
              </w:rPr>
              <w:t>分，以此类推，即偏差率</w:t>
            </w:r>
            <w:r>
              <w:rPr>
                <w:rFonts w:hint="eastAsia" w:ascii="宋体" w:hAnsi="宋体" w:cs="宋体"/>
                <w:color w:val="auto"/>
                <w:highlight w:val="none"/>
              </w:rPr>
              <w:t>&gt;0，商务标得分=75-偏差率÷1%×0.5</w:t>
            </w:r>
          </w:p>
          <w:p>
            <w:pPr>
              <w:spacing w:line="400" w:lineRule="exact"/>
              <w:ind w:firstLine="420" w:firstLineChars="200"/>
              <w:rPr>
                <w:color w:val="auto"/>
                <w:highlight w:val="none"/>
              </w:rPr>
            </w:pPr>
            <w:r>
              <w:rPr>
                <w:rFonts w:hint="eastAsia"/>
                <w:color w:val="auto"/>
                <w:highlight w:val="none"/>
              </w:rPr>
              <w:t>偏差率为负值的有效报价，每偏差1个百分点扣</w:t>
            </w:r>
            <w:r>
              <w:rPr>
                <w:rFonts w:hint="eastAsia"/>
                <w:color w:val="auto"/>
                <w:highlight w:val="none"/>
                <w:u w:val="single"/>
              </w:rPr>
              <w:t>0.25</w:t>
            </w:r>
            <w:r>
              <w:rPr>
                <w:rFonts w:hint="eastAsia"/>
                <w:color w:val="auto"/>
                <w:highlight w:val="none"/>
              </w:rPr>
              <w:t>分，以此类推，即偏差率</w:t>
            </w:r>
            <w:r>
              <w:rPr>
                <w:rFonts w:hint="eastAsia" w:ascii="宋体" w:hAnsi="宋体" w:cs="宋体"/>
                <w:color w:val="auto"/>
                <w:highlight w:val="none"/>
              </w:rPr>
              <w:t>&lt;0，商务标得分=75+偏差率÷1%×0.25</w:t>
            </w:r>
          </w:p>
          <w:p>
            <w:pPr>
              <w:spacing w:line="360" w:lineRule="exact"/>
              <w:rPr>
                <w:rFonts w:ascii="宋体" w:hAnsi="宋体"/>
                <w:b/>
                <w:color w:val="auto"/>
                <w:szCs w:val="21"/>
                <w:highlight w:val="none"/>
              </w:rPr>
            </w:pPr>
            <w:r>
              <w:rPr>
                <w:rFonts w:hint="eastAsia"/>
                <w:color w:val="auto"/>
                <w:highlight w:val="none"/>
              </w:rPr>
              <w:t>注：不足1个百分点的，按直线插入法计算得分。</w:t>
            </w:r>
            <w:r>
              <w:rPr>
                <w:rFonts w:hint="eastAsia" w:ascii="宋体" w:hAnsi="宋体"/>
                <w:b/>
                <w:color w:val="auto"/>
                <w:szCs w:val="21"/>
                <w:highlight w:val="none"/>
              </w:rPr>
              <w:t>计算结果以四舍五入方式保留小数点二位</w:t>
            </w:r>
          </w:p>
        </w:tc>
      </w:tr>
    </w:tbl>
    <w:p>
      <w:pPr>
        <w:rPr>
          <w:color w:val="auto"/>
          <w:highlight w:val="none"/>
        </w:rPr>
      </w:pPr>
    </w:p>
    <w:p>
      <w:pPr>
        <w:rPr>
          <w:color w:val="auto"/>
          <w:highlight w:val="none"/>
        </w:rPr>
      </w:pPr>
    </w:p>
    <w:p>
      <w:pPr>
        <w:rPr>
          <w:color w:val="auto"/>
          <w:highlight w:val="none"/>
        </w:rPr>
      </w:pPr>
    </w:p>
    <w:p>
      <w:pPr>
        <w:pStyle w:val="6"/>
        <w:tabs>
          <w:tab w:val="left" w:pos="1860"/>
        </w:tabs>
        <w:rPr>
          <w:color w:val="auto"/>
          <w:szCs w:val="28"/>
          <w:highlight w:val="none"/>
        </w:rPr>
      </w:pPr>
      <w:r>
        <w:rPr>
          <w:rFonts w:hint="eastAsia"/>
          <w:color w:val="auto"/>
          <w:szCs w:val="28"/>
          <w:highlight w:val="none"/>
        </w:rPr>
        <w:t>1、评标方法</w:t>
      </w:r>
      <w:bookmarkEnd w:id="17"/>
      <w:bookmarkEnd w:id="18"/>
      <w:r>
        <w:rPr>
          <w:color w:val="auto"/>
          <w:szCs w:val="28"/>
          <w:highlight w:val="none"/>
        </w:rPr>
        <w:tab/>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本次评标采用综合评估法。评标委员会对满足招标文件实质性要求的投标文件，按照本章第2.2 款规定的评分标准进行打分，并按得分由高到低顺序推荐前一名中标候选人。综合评分相等时，以报价百分比低的优先；报价百分比也相等时，由招标人抽签确定。</w:t>
      </w:r>
    </w:p>
    <w:p>
      <w:pPr>
        <w:pStyle w:val="6"/>
        <w:rPr>
          <w:color w:val="auto"/>
          <w:szCs w:val="28"/>
          <w:highlight w:val="none"/>
        </w:rPr>
      </w:pPr>
      <w:bookmarkStart w:id="19" w:name="_Toc184635094"/>
      <w:bookmarkStart w:id="20" w:name="_Toc355359397"/>
      <w:bookmarkStart w:id="21" w:name="_Toc403986558"/>
      <w:r>
        <w:rPr>
          <w:rFonts w:hint="eastAsia"/>
          <w:color w:val="auto"/>
          <w:szCs w:val="28"/>
          <w:highlight w:val="none"/>
        </w:rPr>
        <w:t>2、评审标准</w:t>
      </w:r>
      <w:bookmarkEnd w:id="19"/>
      <w:bookmarkEnd w:id="20"/>
      <w:bookmarkEnd w:id="21"/>
      <w:r>
        <w:rPr>
          <w:color w:val="auto"/>
          <w:szCs w:val="28"/>
          <w:highlight w:val="none"/>
        </w:rPr>
        <w:tab/>
      </w:r>
    </w:p>
    <w:p>
      <w:pPr>
        <w:pStyle w:val="6"/>
        <w:rPr>
          <w:color w:val="auto"/>
          <w:szCs w:val="28"/>
          <w:highlight w:val="none"/>
        </w:rPr>
      </w:pPr>
      <w:bookmarkStart w:id="22" w:name="_Toc355359398"/>
      <w:bookmarkStart w:id="23" w:name="_Toc403986559"/>
      <w:r>
        <w:rPr>
          <w:rFonts w:hint="eastAsia"/>
          <w:color w:val="auto"/>
          <w:szCs w:val="28"/>
          <w:highlight w:val="none"/>
        </w:rPr>
        <w:t>2.1 初步评审标准</w:t>
      </w:r>
      <w:bookmarkEnd w:id="22"/>
      <w:bookmarkEnd w:id="2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2.1.1 形式评审标准：见评标办法前附表。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2.1.2 资格后审标准：见评标办法前附表。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2.1.3 响应性评审标准：见评标办法前附表。</w:t>
      </w:r>
    </w:p>
    <w:p>
      <w:pPr>
        <w:pStyle w:val="6"/>
        <w:rPr>
          <w:color w:val="auto"/>
          <w:szCs w:val="28"/>
          <w:highlight w:val="none"/>
        </w:rPr>
      </w:pPr>
      <w:bookmarkStart w:id="24" w:name="_Toc403986560"/>
      <w:bookmarkStart w:id="25" w:name="_Toc355359399"/>
      <w:r>
        <w:rPr>
          <w:rFonts w:hint="eastAsia"/>
          <w:color w:val="auto"/>
          <w:szCs w:val="28"/>
          <w:highlight w:val="none"/>
        </w:rPr>
        <w:t>2.2 分值构成与评分标准</w:t>
      </w:r>
      <w:bookmarkEnd w:id="24"/>
      <w:bookmarkEnd w:id="2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 分值构成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(l）技术标：见评标办法前附表；</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（2）资信标：见评标办法前附表；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(3）商务标：见评标办法前附表；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评分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2.2.3 投标报价的计算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2.2.4 评分标准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(1）技术标评分标准：见评标办法前附表；</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（2）资信标评分标准：见评标办法前附表；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(3）商务标评分标准：见评标办法前附表；</w:t>
      </w:r>
    </w:p>
    <w:p>
      <w:pPr>
        <w:pStyle w:val="6"/>
        <w:rPr>
          <w:color w:val="auto"/>
          <w:szCs w:val="28"/>
          <w:highlight w:val="none"/>
        </w:rPr>
      </w:pPr>
      <w:bookmarkStart w:id="26" w:name="_Toc184635095"/>
      <w:bookmarkStart w:id="27" w:name="_Toc355359400"/>
      <w:bookmarkStart w:id="28" w:name="_Toc403986561"/>
      <w:r>
        <w:rPr>
          <w:rFonts w:hint="eastAsia"/>
          <w:color w:val="auto"/>
          <w:szCs w:val="28"/>
          <w:highlight w:val="none"/>
        </w:rPr>
        <w:t>3、评标程序</w:t>
      </w:r>
      <w:bookmarkEnd w:id="26"/>
      <w:bookmarkEnd w:id="27"/>
      <w:bookmarkEnd w:id="28"/>
    </w:p>
    <w:p>
      <w:pPr>
        <w:pStyle w:val="6"/>
        <w:rPr>
          <w:color w:val="auto"/>
          <w:szCs w:val="28"/>
          <w:highlight w:val="none"/>
        </w:rPr>
      </w:pPr>
      <w:bookmarkStart w:id="29" w:name="_Toc355359401"/>
      <w:bookmarkStart w:id="30" w:name="_Toc403986562"/>
      <w:r>
        <w:rPr>
          <w:rFonts w:hint="eastAsia"/>
          <w:color w:val="auto"/>
          <w:szCs w:val="28"/>
          <w:highlight w:val="none"/>
        </w:rPr>
        <w:t>3.1 初步评审</w:t>
      </w:r>
      <w:bookmarkEnd w:id="29"/>
      <w:bookmarkEnd w:id="3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3.1.1 评标委员会依据本章第2.1.1 项、第2.1.2项、第2.1.3 项规定的评审标准对投标文件进行初步评审。有一项不符合评审标准的，作废标处理。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3.1.2 投标人有以下情形之一的，其投标作废标处理：</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(l）串通投标或弄虚作假或有其他违法行为的；</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(2）不按评标委员会要求澄清、说明或补正的；</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（3）投标文件中附有招标人不能接受的条件的；</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（4）拟派的项目监理工程师必须在浙江省建筑市场监督和诚信信息平台办理入库手续或拟派项目监理工程师在浙江省建筑市场监督和诚信信息平台中证件信息已过期；</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（5）拟派的项目监理工程师未被浙江省建筑市场监督和诚信信息发布平台锁定。</w:t>
      </w:r>
    </w:p>
    <w:p>
      <w:pPr>
        <w:pStyle w:val="6"/>
        <w:rPr>
          <w:color w:val="auto"/>
          <w:szCs w:val="28"/>
          <w:highlight w:val="none"/>
        </w:rPr>
      </w:pPr>
      <w:bookmarkStart w:id="31" w:name="_Toc355359402"/>
      <w:bookmarkStart w:id="32" w:name="_Toc403986563"/>
      <w:r>
        <w:rPr>
          <w:rFonts w:hint="eastAsia"/>
          <w:color w:val="auto"/>
          <w:szCs w:val="28"/>
          <w:highlight w:val="none"/>
        </w:rPr>
        <w:t>3.2 详细评审</w:t>
      </w:r>
      <w:bookmarkEnd w:id="31"/>
      <w:bookmarkEnd w:id="3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3.2.1 评标委员会按本章第2.2 款规定的量化因素和分值进行打分，并计算出综合评估得分。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(1）按本章第2.2.4(1）目规定的评审因素和分值对技术标计算出得分；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(2）按本章第2.2.4(2）目规定的评审因素和分值对资信标计算出得分；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(3）按本章第2.2.4(3）目规定的评审因素和分值对商务标计算出得分；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(4）3.2.2 评分分值计算保留小数点后二位，小数点后第三位“四舍五入”</w:t>
      </w:r>
      <w:r>
        <w:rPr>
          <w:rFonts w:hint="eastAsia" w:ascii="宋体" w:hAnsi="宋体"/>
          <w:b/>
          <w:color w:val="auto"/>
          <w:szCs w:val="21"/>
          <w:highlight w:val="none"/>
        </w:rPr>
        <w:t>（技术标评分汇总时，为去掉一个最高分和一个最低分，其余所有评委打分的算术平均值）。</w:t>
      </w:r>
      <w:r>
        <w:rPr>
          <w:rFonts w:hint="eastAsia" w:ascii="宋体" w:hAnsi="宋体"/>
          <w:color w:val="auto"/>
          <w:szCs w:val="21"/>
          <w:highlight w:val="none"/>
        </w:rPr>
        <w:t xml:space="preserve">  </w:t>
      </w:r>
    </w:p>
    <w:p>
      <w:pPr>
        <w:tabs>
          <w:tab w:val="center" w:pos="5029"/>
        </w:tabs>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3.2.3 投标人最终得分=技术标得分+资信标得分+商务标得分</w:t>
      </w:r>
    </w:p>
    <w:p>
      <w:pPr>
        <w:pStyle w:val="7"/>
        <w:rPr>
          <w:color w:val="auto"/>
          <w:sz w:val="24"/>
          <w:szCs w:val="24"/>
          <w:highlight w:val="none"/>
        </w:rPr>
      </w:pPr>
      <w:r>
        <w:rPr>
          <w:rFonts w:hint="eastAsia"/>
          <w:color w:val="auto"/>
          <w:sz w:val="24"/>
          <w:szCs w:val="24"/>
          <w:highlight w:val="none"/>
        </w:rPr>
        <w:t>3.3 投标文件的澄清和补正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3.3.2 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3.3.3 评标委员会对投标人提交的澄清、说明或补正有疑问的，可以要求投标人进一步澄清、说明或补正，直至满足评标委员会的要求。</w:t>
      </w:r>
    </w:p>
    <w:p>
      <w:pPr>
        <w:pStyle w:val="7"/>
        <w:rPr>
          <w:color w:val="auto"/>
          <w:sz w:val="24"/>
          <w:szCs w:val="24"/>
          <w:highlight w:val="none"/>
        </w:rPr>
      </w:pPr>
      <w:r>
        <w:rPr>
          <w:rFonts w:hint="eastAsia"/>
          <w:color w:val="auto"/>
          <w:sz w:val="24"/>
          <w:szCs w:val="24"/>
          <w:highlight w:val="none"/>
        </w:rPr>
        <w:t>3.4 评标结果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3.4.1 评标委员会按照得分从高到低的顺序推荐前一名为中标候选人，确定第一中标候选人为拟中标人。</w:t>
      </w:r>
    </w:p>
    <w:p>
      <w:pPr>
        <w:spacing w:line="360" w:lineRule="exact"/>
        <w:ind w:firstLine="420" w:firstLineChars="200"/>
        <w:rPr>
          <w:rFonts w:ascii="宋体" w:hAnsi="宋体"/>
          <w:color w:val="auto"/>
          <w:szCs w:val="21"/>
          <w:highlight w:val="none"/>
        </w:rPr>
      </w:pPr>
      <w:r>
        <w:rPr>
          <w:rFonts w:hint="eastAsia"/>
          <w:color w:val="auto"/>
          <w:highlight w:val="none"/>
        </w:rPr>
        <w:t>3.4.2 评标委员会完成评标后，应当向招标人提交书面评标报告。</w:t>
      </w:r>
    </w:p>
    <w:p>
      <w:pPr>
        <w:pStyle w:val="4"/>
        <w:jc w:val="center"/>
        <w:rPr>
          <w:color w:val="auto"/>
          <w:szCs w:val="32"/>
          <w:highlight w:val="none"/>
        </w:rPr>
      </w:pPr>
      <w:bookmarkStart w:id="33" w:name="_Toc403986564"/>
    </w:p>
    <w:p>
      <w:pPr>
        <w:pStyle w:val="4"/>
        <w:jc w:val="center"/>
        <w:rPr>
          <w:color w:val="auto"/>
          <w:szCs w:val="32"/>
          <w:highlight w:val="none"/>
        </w:rPr>
      </w:pPr>
    </w:p>
    <w:p>
      <w:pPr>
        <w:pStyle w:val="4"/>
        <w:jc w:val="center"/>
        <w:rPr>
          <w:color w:val="auto"/>
          <w:szCs w:val="32"/>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jc w:val="center"/>
        <w:rPr>
          <w:color w:val="auto"/>
          <w:szCs w:val="32"/>
          <w:highlight w:val="none"/>
        </w:rPr>
      </w:pPr>
    </w:p>
    <w:p>
      <w:pPr>
        <w:rPr>
          <w:color w:val="auto"/>
          <w:highlight w:val="none"/>
        </w:rPr>
      </w:pPr>
    </w:p>
    <w:p>
      <w:pPr>
        <w:pStyle w:val="4"/>
        <w:jc w:val="center"/>
        <w:rPr>
          <w:color w:val="auto"/>
          <w:szCs w:val="32"/>
          <w:highlight w:val="none"/>
        </w:rPr>
      </w:pPr>
      <w:r>
        <w:rPr>
          <w:rFonts w:hint="eastAsia"/>
          <w:color w:val="auto"/>
          <w:szCs w:val="32"/>
          <w:highlight w:val="none"/>
        </w:rPr>
        <w:t>第四章 合同条款及格式</w:t>
      </w:r>
      <w:bookmarkEnd w:id="33"/>
    </w:p>
    <w:p>
      <w:pPr>
        <w:pStyle w:val="5"/>
        <w:adjustRightInd w:val="0"/>
        <w:spacing w:before="0" w:after="0" w:line="500" w:lineRule="exact"/>
        <w:jc w:val="center"/>
        <w:rPr>
          <w:rFonts w:ascii="宋体" w:hAnsi="宋体"/>
          <w:color w:val="auto"/>
          <w:sz w:val="30"/>
          <w:szCs w:val="30"/>
          <w:highlight w:val="none"/>
        </w:rPr>
      </w:pPr>
      <w:r>
        <w:rPr>
          <w:rFonts w:ascii="宋体" w:hAnsi="宋体"/>
          <w:color w:val="auto"/>
          <w:sz w:val="30"/>
          <w:szCs w:val="30"/>
          <w:highlight w:val="none"/>
        </w:rPr>
        <w:t>第一部分  协 议 书</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委托人</w:t>
      </w:r>
      <w:r>
        <w:rPr>
          <w:rFonts w:hint="eastAsia" w:ascii="宋体" w:hAnsi="宋体"/>
          <w:color w:val="auto"/>
          <w:szCs w:val="21"/>
          <w:highlight w:val="none"/>
        </w:rPr>
        <w:t>（全称）</w:t>
      </w:r>
      <w:r>
        <w:rPr>
          <w:rFonts w:ascii="宋体" w:hAnsi="宋体"/>
          <w:color w:val="auto"/>
          <w:szCs w:val="21"/>
          <w:highlight w:val="none"/>
        </w:rPr>
        <w:t>：</w:t>
      </w:r>
      <w:r>
        <w:rPr>
          <w:rFonts w:hint="eastAsia" w:ascii="宋体" w:hAnsi="宋体"/>
          <w:color w:val="auto"/>
          <w:szCs w:val="21"/>
          <w:highlight w:val="none"/>
          <w:u w:val="single"/>
        </w:rPr>
        <w:t>金华市婺城区城乡建设投资集团有限公司</w:t>
      </w:r>
    </w:p>
    <w:p>
      <w:pPr>
        <w:adjustRightInd w:val="0"/>
        <w:snapToGrid w:val="0"/>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监理人</w:t>
      </w:r>
      <w:r>
        <w:rPr>
          <w:rFonts w:hint="eastAsia" w:ascii="宋体" w:hAnsi="宋体"/>
          <w:color w:val="auto"/>
          <w:szCs w:val="21"/>
          <w:highlight w:val="none"/>
        </w:rPr>
        <w:t>（全称）</w:t>
      </w:r>
      <w:r>
        <w:rPr>
          <w:rFonts w:ascii="宋体" w:hAnsi="宋体"/>
          <w:color w:val="auto"/>
          <w:szCs w:val="21"/>
          <w:highlight w:val="none"/>
        </w:rPr>
        <w:t>：</w:t>
      </w:r>
      <w:r>
        <w:rPr>
          <w:rFonts w:hint="eastAsia" w:ascii="宋体" w:hAnsi="宋体"/>
          <w:color w:val="auto"/>
          <w:szCs w:val="21"/>
          <w:highlight w:val="none"/>
          <w:u w:val="single"/>
        </w:rPr>
        <w:t xml:space="preserve">                                     </w:t>
      </w:r>
    </w:p>
    <w:p>
      <w:pPr>
        <w:adjustRightInd w:val="0"/>
        <w:snapToGrid w:val="0"/>
        <w:spacing w:line="360" w:lineRule="auto"/>
        <w:ind w:firstLine="420" w:firstLineChars="200"/>
        <w:rPr>
          <w:rFonts w:hAnsi="宋体"/>
          <w:color w:val="auto"/>
          <w:highlight w:val="none"/>
        </w:rPr>
      </w:pPr>
      <w:r>
        <w:rPr>
          <w:rFonts w:hint="eastAsia" w:hAnsi="宋体"/>
          <w:color w:val="auto"/>
          <w:highlight w:val="none"/>
        </w:rPr>
        <w:t>根据《</w:t>
      </w:r>
      <w:r>
        <w:rPr>
          <w:rFonts w:hint="eastAsia" w:hAnsi="宋体"/>
          <w:color w:val="auto"/>
          <w:highlight w:val="none"/>
          <w:lang w:eastAsia="zh-CN"/>
        </w:rPr>
        <w:t>中华人民共和国民法典</w:t>
      </w:r>
      <w:r>
        <w:rPr>
          <w:rFonts w:hint="eastAsia" w:hAnsi="宋体"/>
          <w:color w:val="auto"/>
          <w:highlight w:val="none"/>
        </w:rPr>
        <w:t>》、《中华人民共和国建筑法》及其他有关法律、法规，遵循平等、自愿、公平和诚信的原则，双方就下述工程委托监理与相关服务事项协商一致，订立本合同。</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一、工程概况</w:t>
      </w:r>
    </w:p>
    <w:p>
      <w:pPr>
        <w:adjustRightInd w:val="0"/>
        <w:snapToGrid w:val="0"/>
        <w:spacing w:line="360" w:lineRule="auto"/>
        <w:ind w:firstLine="420" w:firstLineChars="200"/>
        <w:rPr>
          <w:rFonts w:cs="宋体"/>
          <w:color w:val="auto"/>
          <w:kern w:val="0"/>
          <w:highlight w:val="none"/>
          <w:u w:val="single"/>
        </w:rPr>
      </w:pPr>
      <w:r>
        <w:rPr>
          <w:rFonts w:hint="eastAsia" w:ascii="宋体" w:hAnsi="宋体"/>
          <w:color w:val="auto"/>
          <w:szCs w:val="21"/>
          <w:highlight w:val="none"/>
        </w:rPr>
        <w:t>1. 工程名称：</w:t>
      </w:r>
      <w:r>
        <w:rPr>
          <w:rFonts w:hint="eastAsia" w:cs="宋体"/>
          <w:color w:val="auto"/>
          <w:kern w:val="0"/>
          <w:highlight w:val="none"/>
          <w:u w:val="single"/>
          <w:lang w:eastAsia="zh-CN"/>
        </w:rPr>
        <w:t>金华市婺城区安居工程城中村改造项目（城西西郊三期）</w:t>
      </w:r>
      <w:r>
        <w:rPr>
          <w:rFonts w:hint="eastAsia" w:cs="宋体"/>
          <w:color w:val="auto"/>
          <w:kern w:val="0"/>
          <w:highlight w:val="none"/>
          <w:u w:val="single"/>
        </w:rPr>
        <w:t>监理；</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工程地点：</w:t>
      </w:r>
      <w:r>
        <w:rPr>
          <w:rFonts w:hint="eastAsia" w:cs="宋体"/>
          <w:color w:val="auto"/>
          <w:kern w:val="0"/>
          <w:highlight w:val="none"/>
          <w:u w:val="single"/>
          <w:lang w:eastAsia="zh-CN"/>
        </w:rPr>
        <w:t>解放西路以南、婺州街以西</w:t>
      </w:r>
      <w:r>
        <w:rPr>
          <w:rFonts w:hint="eastAsia" w:ascii="宋体" w:hAnsi="宋体"/>
          <w:color w:val="auto"/>
          <w:szCs w:val="21"/>
          <w:highlight w:val="none"/>
        </w:rPr>
        <w:t>；</w:t>
      </w:r>
    </w:p>
    <w:p>
      <w:pPr>
        <w:adjustRightInd w:val="0"/>
        <w:snapToGrid w:val="0"/>
        <w:spacing w:line="360" w:lineRule="auto"/>
        <w:ind w:firstLine="420" w:firstLineChars="200"/>
        <w:rPr>
          <w:rFonts w:cs="宋体"/>
          <w:color w:val="auto"/>
          <w:kern w:val="0"/>
          <w:highlight w:val="none"/>
          <w:u w:val="single"/>
        </w:rPr>
      </w:pPr>
      <w:r>
        <w:rPr>
          <w:rFonts w:hint="eastAsia" w:ascii="宋体" w:hAnsi="宋体"/>
          <w:color w:val="auto"/>
          <w:szCs w:val="21"/>
          <w:highlight w:val="none"/>
        </w:rPr>
        <w:t>3. 工程规模：</w:t>
      </w:r>
      <w:r>
        <w:rPr>
          <w:rFonts w:ascii="宋体" w:hAnsi="宋体" w:cs="宋体"/>
          <w:color w:val="auto"/>
          <w:kern w:val="0"/>
          <w:highlight w:val="none"/>
          <w:u w:val="single"/>
          <w:shd w:val="clear" w:color="auto" w:fill="FFFFFF"/>
        </w:rPr>
        <w:t>规</w:t>
      </w:r>
      <w:r>
        <w:rPr>
          <w:rFonts w:hint="eastAsia" w:ascii="宋体" w:hAnsi="宋体" w:cs="宋体"/>
          <w:color w:val="auto"/>
          <w:kern w:val="0"/>
          <w:highlight w:val="none"/>
          <w:u w:val="single"/>
          <w:shd w:val="clear" w:color="auto" w:fill="FFFFFF"/>
        </w:rPr>
        <w:t>划地块总用地面积57.6亩，总建筑面积119864.2㎡，其中地上建筑面积约88562㎡，地下室面积约31302.2㎡,其中人防面积约7980平方米（具体以相关部门审批为准）。</w:t>
      </w:r>
      <w:r>
        <w:rPr>
          <w:rFonts w:hint="eastAsia" w:ascii="宋体" w:hAnsi="宋体" w:cs="宋体"/>
          <w:color w:val="auto"/>
          <w:kern w:val="0"/>
          <w:highlight w:val="none"/>
          <w:u w:val="single"/>
          <w:shd w:val="clear" w:color="auto" w:fill="FFFFFF"/>
        </w:rPr>
        <w:t>容积率≤2.3</w:t>
      </w:r>
      <w:r>
        <w:rPr>
          <w:rFonts w:hint="eastAsia" w:ascii="宋体" w:hAnsi="宋体" w:cs="宋体"/>
          <w:color w:val="auto"/>
          <w:kern w:val="0"/>
          <w:highlight w:val="none"/>
          <w:u w:val="single"/>
          <w:shd w:val="clear" w:color="auto" w:fill="FFFFFF"/>
        </w:rPr>
        <w:t>，建筑占地面积约9636㎡，建筑密度≤ 25%，绿地率≥35%</w:t>
      </w:r>
      <w:r>
        <w:rPr>
          <w:rFonts w:hint="eastAsia" w:ascii="宋体" w:hAnsi="宋体"/>
          <w:color w:val="auto"/>
          <w:szCs w:val="21"/>
          <w:highlight w:val="none"/>
          <w:u w:val="singl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工程</w:t>
      </w:r>
      <w:r>
        <w:rPr>
          <w:rFonts w:hint="eastAsia" w:ascii="宋体" w:hAnsi="宋体"/>
          <w:color w:val="auto"/>
          <w:szCs w:val="21"/>
          <w:highlight w:val="none"/>
          <w:lang w:eastAsia="zh-CN"/>
        </w:rPr>
        <w:t>投资：总</w:t>
      </w:r>
      <w:r>
        <w:rPr>
          <w:rFonts w:hint="eastAsia" w:ascii="宋体" w:hAnsi="宋体"/>
          <w:color w:val="auto"/>
          <w:szCs w:val="21"/>
          <w:highlight w:val="none"/>
          <w:lang w:eastAsia="zh-CN"/>
        </w:rPr>
        <w:t>投资约人民币</w:t>
      </w:r>
      <w:r>
        <w:rPr>
          <w:rFonts w:hint="eastAsia" w:ascii="宋体" w:hAnsi="宋体"/>
          <w:color w:val="auto"/>
          <w:szCs w:val="21"/>
          <w:highlight w:val="none"/>
          <w:u w:val="single"/>
          <w:lang w:val="en-US" w:eastAsia="zh-CN"/>
        </w:rPr>
        <w:t xml:space="preserve"> 5.4 </w:t>
      </w:r>
      <w:r>
        <w:rPr>
          <w:rFonts w:hint="eastAsia" w:ascii="宋体" w:hAnsi="宋体"/>
          <w:color w:val="auto"/>
          <w:szCs w:val="21"/>
          <w:highlight w:val="none"/>
          <w:lang w:val="en-US" w:eastAsia="zh-CN"/>
        </w:rPr>
        <w:t>亿元，建安造价</w:t>
      </w:r>
      <w:r>
        <w:rPr>
          <w:rFonts w:hint="eastAsia" w:ascii="宋体" w:hAnsi="宋体"/>
          <w:color w:val="auto"/>
          <w:szCs w:val="21"/>
          <w:highlight w:val="none"/>
          <w:u w:val="single"/>
        </w:rPr>
        <w:t>约</w:t>
      </w:r>
      <w:r>
        <w:rPr>
          <w:rFonts w:hint="eastAsia" w:ascii="宋体" w:hAnsi="宋体"/>
          <w:color w:val="auto"/>
          <w:szCs w:val="21"/>
          <w:highlight w:val="none"/>
          <w:u w:val="single"/>
          <w:lang w:eastAsia="zh-CN"/>
        </w:rPr>
        <w:t>人民币</w:t>
      </w:r>
      <w:r>
        <w:rPr>
          <w:rFonts w:hint="eastAsia" w:ascii="宋体" w:hAnsi="宋体"/>
          <w:color w:val="auto"/>
          <w:szCs w:val="21"/>
          <w:highlight w:val="none"/>
          <w:u w:val="single"/>
          <w:lang w:val="en-US" w:eastAsia="zh-CN"/>
        </w:rPr>
        <w:t>4.1</w:t>
      </w:r>
      <w:r>
        <w:rPr>
          <w:rFonts w:hint="eastAsia" w:ascii="宋体" w:hAnsi="宋体"/>
          <w:color w:val="auto"/>
          <w:szCs w:val="21"/>
          <w:highlight w:val="none"/>
          <w:u w:val="single"/>
        </w:rPr>
        <w:t>亿元</w:t>
      </w:r>
      <w:r>
        <w:rPr>
          <w:rFonts w:hint="eastAsia" w:ascii="宋体" w:hAnsi="宋体"/>
          <w:color w:val="auto"/>
          <w:szCs w:val="21"/>
          <w:highlight w:val="none"/>
        </w:rPr>
        <w:t>。</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二、词语限定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协议书中相关词语的含义与通用条件中的定义与解释相同。</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三、组成本合同的文件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协议书；</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中标通知书；</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投标文件；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专用条件；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通用条件；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附录，即：</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附录A  相关服务的范围和内容</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附录B  委托人派遣的人员和提供的</w:t>
      </w:r>
      <w:r>
        <w:rPr>
          <w:rFonts w:hint="eastAsia" w:ascii="宋体" w:hAnsi="宋体"/>
          <w:bCs/>
          <w:color w:val="auto"/>
          <w:szCs w:val="21"/>
          <w:highlight w:val="none"/>
        </w:rPr>
        <w:t>房屋、资料</w:t>
      </w:r>
      <w:r>
        <w:rPr>
          <w:rFonts w:hint="eastAsia" w:ascii="宋体" w:hAnsi="宋体"/>
          <w:color w:val="auto"/>
          <w:szCs w:val="21"/>
          <w:highlight w:val="none"/>
        </w:rPr>
        <w:t>、设备</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本合同签订后，双方依法签订的补充协议也是本合同文件的组成部分。</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四、总监理工程师</w:t>
      </w:r>
    </w:p>
    <w:p>
      <w:pPr>
        <w:adjustRightInd w:val="0"/>
        <w:snapToGrid w:val="0"/>
        <w:spacing w:line="360" w:lineRule="auto"/>
        <w:ind w:firstLine="420" w:firstLineChars="200"/>
        <w:rPr>
          <w:rFonts w:hAnsi="宋体"/>
          <w:color w:val="auto"/>
          <w:kern w:val="0"/>
          <w:highlight w:val="none"/>
        </w:rPr>
      </w:pPr>
      <w:r>
        <w:rPr>
          <w:rFonts w:hint="eastAsia" w:hAnsi="宋体"/>
          <w:color w:val="auto"/>
          <w:kern w:val="0"/>
          <w:highlight w:val="none"/>
        </w:rPr>
        <w:t>总监理工程师姓名：</w:t>
      </w:r>
      <w:r>
        <w:rPr>
          <w:rFonts w:hint="eastAsia" w:hAnsi="宋体"/>
          <w:color w:val="auto"/>
          <w:kern w:val="0"/>
          <w:highlight w:val="none"/>
          <w:u w:val="single"/>
        </w:rPr>
        <w:t xml:space="preserve">     </w:t>
      </w:r>
      <w:r>
        <w:rPr>
          <w:rFonts w:hint="eastAsia" w:hAnsi="宋体"/>
          <w:color w:val="auto"/>
          <w:kern w:val="0"/>
          <w:highlight w:val="none"/>
        </w:rPr>
        <w:t>，身份证号码：</w:t>
      </w:r>
      <w:r>
        <w:rPr>
          <w:rFonts w:hint="eastAsia" w:hAnsi="宋体"/>
          <w:color w:val="auto"/>
          <w:kern w:val="0"/>
          <w:highlight w:val="none"/>
          <w:u w:val="single"/>
        </w:rPr>
        <w:t xml:space="preserve">     </w:t>
      </w:r>
      <w:r>
        <w:rPr>
          <w:rFonts w:hint="eastAsia" w:hAnsi="宋体"/>
          <w:color w:val="auto"/>
          <w:kern w:val="0"/>
          <w:highlight w:val="none"/>
        </w:rPr>
        <w:t>，注册号：</w:t>
      </w:r>
      <w:r>
        <w:rPr>
          <w:rFonts w:hint="eastAsia" w:hAnsi="宋体"/>
          <w:color w:val="auto"/>
          <w:kern w:val="0"/>
          <w:highlight w:val="none"/>
          <w:u w:val="single"/>
        </w:rPr>
        <w:t xml:space="preserve">      </w:t>
      </w:r>
      <w:r>
        <w:rPr>
          <w:rFonts w:hint="eastAsia" w:hAnsi="宋体"/>
          <w:color w:val="auto"/>
          <w:kern w:val="0"/>
          <w:highlight w:val="none"/>
        </w:rPr>
        <w:t>。</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五、签约酬金</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签约酬金（暂定）（大写）：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adjustRightInd w:val="0"/>
        <w:snapToGrid w:val="0"/>
        <w:spacing w:line="360" w:lineRule="auto"/>
        <w:ind w:firstLine="420" w:firstLineChars="200"/>
        <w:rPr>
          <w:rFonts w:hAnsi="宋体"/>
          <w:color w:val="auto"/>
          <w:highlight w:val="none"/>
        </w:rPr>
      </w:pPr>
      <w:r>
        <w:rPr>
          <w:rFonts w:hint="eastAsia" w:hAnsi="宋体"/>
          <w:color w:val="auto"/>
          <w:highlight w:val="none"/>
        </w:rPr>
        <w:t>包括：监理酬金及相关服务酬金。</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六、期限</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自</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日始，至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日止</w:t>
      </w:r>
      <w:r>
        <w:rPr>
          <w:rFonts w:hint="eastAsia" w:ascii="宋体" w:hAnsi="宋体"/>
          <w:color w:val="auto"/>
          <w:szCs w:val="21"/>
          <w:highlight w:val="none"/>
        </w:rPr>
        <w:t>（</w:t>
      </w:r>
      <w:r>
        <w:rPr>
          <w:rFonts w:hint="eastAsia" w:cs="宋体"/>
          <w:color w:val="auto"/>
          <w:kern w:val="0"/>
          <w:highlight w:val="none"/>
          <w:u w:val="single"/>
        </w:rPr>
        <w:t>监理合同签订之日起的项目代建开发期＋缺陷责任期2年（包含代建开发项目的前期阶段、工程实施阶段、工程竣工验收、项目备案移交阶段及质量缺陷期的各项监理服务）</w:t>
      </w:r>
      <w:r>
        <w:rPr>
          <w:rFonts w:hint="eastAsia" w:ascii="宋体" w:hAnsi="宋体"/>
          <w:color w:val="auto"/>
          <w:szCs w:val="21"/>
          <w:highlight w:val="none"/>
        </w:rPr>
        <w:t>。</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七、双方承诺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监理人向委托人承诺，按照本合同约定</w:t>
      </w:r>
      <w:r>
        <w:rPr>
          <w:rFonts w:hint="eastAsia" w:ascii="宋体" w:hAnsi="宋体"/>
          <w:color w:val="auto"/>
          <w:kern w:val="0"/>
          <w:szCs w:val="21"/>
          <w:highlight w:val="none"/>
        </w:rPr>
        <w:t>提供</w:t>
      </w:r>
      <w:r>
        <w:rPr>
          <w:rFonts w:hint="eastAsia" w:ascii="宋体" w:hAnsi="宋体"/>
          <w:color w:val="auto"/>
          <w:szCs w:val="21"/>
          <w:highlight w:val="none"/>
        </w:rPr>
        <w:t>监理与相关服务。</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委托人向监理人承诺，按照本合同约定派遣相应的人员，提供</w:t>
      </w:r>
      <w:r>
        <w:rPr>
          <w:rFonts w:hint="eastAsia" w:ascii="宋体" w:hAnsi="宋体"/>
          <w:bCs/>
          <w:color w:val="auto"/>
          <w:szCs w:val="21"/>
          <w:highlight w:val="none"/>
        </w:rPr>
        <w:t>房屋、资料</w:t>
      </w:r>
      <w:r>
        <w:rPr>
          <w:rFonts w:hint="eastAsia" w:ascii="宋体" w:hAnsi="宋体"/>
          <w:color w:val="auto"/>
          <w:szCs w:val="21"/>
          <w:highlight w:val="none"/>
        </w:rPr>
        <w:t>、设备，并按本合同约定支付酬金。</w:t>
      </w:r>
    </w:p>
    <w:p>
      <w:pPr>
        <w:adjustRightInd w:val="0"/>
        <w:snapToGrid w:val="0"/>
        <w:spacing w:line="360" w:lineRule="auto"/>
        <w:ind w:firstLine="420" w:firstLineChars="200"/>
        <w:rPr>
          <w:rFonts w:ascii="黑体" w:hAnsi="黑体" w:eastAsia="黑体"/>
          <w:color w:val="auto"/>
          <w:highlight w:val="none"/>
        </w:rPr>
      </w:pPr>
      <w:r>
        <w:rPr>
          <w:rFonts w:hint="eastAsia" w:ascii="黑体" w:hAnsi="黑体" w:eastAsia="黑体"/>
          <w:color w:val="auto"/>
          <w:highlight w:val="none"/>
        </w:rPr>
        <w:t>八、合同订立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订立时间：</w:t>
      </w:r>
      <w:r>
        <w:rPr>
          <w:rFonts w:hint="eastAsia" w:ascii="宋体" w:hAnsi="宋体"/>
          <w:color w:val="auto"/>
          <w:szCs w:val="21"/>
          <w:highlight w:val="none"/>
          <w:u w:val="single"/>
        </w:rPr>
        <w:t xml:space="preserve">  202</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订立地点：</w:t>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金华市婺城区城乡建设投资集团有限公司</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本合同书共</w:t>
      </w:r>
      <w:r>
        <w:rPr>
          <w:rFonts w:hint="eastAsia" w:ascii="宋体" w:hAnsi="宋体"/>
          <w:color w:val="auto"/>
          <w:szCs w:val="21"/>
          <w:highlight w:val="none"/>
        </w:rPr>
        <w:t>壹</w:t>
      </w:r>
      <w:r>
        <w:rPr>
          <w:rFonts w:ascii="宋体" w:hAnsi="宋体"/>
          <w:color w:val="auto"/>
          <w:szCs w:val="21"/>
          <w:highlight w:val="none"/>
        </w:rPr>
        <w:t>拾份，正本</w:t>
      </w:r>
      <w:r>
        <w:rPr>
          <w:rFonts w:hint="eastAsia" w:ascii="宋体" w:hAnsi="宋体"/>
          <w:color w:val="auto"/>
          <w:szCs w:val="21"/>
          <w:highlight w:val="none"/>
        </w:rPr>
        <w:t>贰</w:t>
      </w:r>
      <w:r>
        <w:rPr>
          <w:rFonts w:ascii="宋体" w:hAnsi="宋体"/>
          <w:color w:val="auto"/>
          <w:szCs w:val="21"/>
          <w:highlight w:val="none"/>
        </w:rPr>
        <w:t>份，</w:t>
      </w:r>
      <w:r>
        <w:rPr>
          <w:rFonts w:hint="eastAsia" w:ascii="宋体" w:hAnsi="宋体"/>
          <w:color w:val="auto"/>
          <w:szCs w:val="21"/>
          <w:highlight w:val="none"/>
        </w:rPr>
        <w:t>双</w:t>
      </w:r>
      <w:r>
        <w:rPr>
          <w:rFonts w:ascii="宋体" w:hAnsi="宋体"/>
          <w:color w:val="auto"/>
          <w:szCs w:val="21"/>
          <w:highlight w:val="none"/>
        </w:rPr>
        <w:t>方各执壹份，副</w:t>
      </w:r>
      <w:r>
        <w:rPr>
          <w:rFonts w:hint="eastAsia" w:ascii="宋体" w:hAnsi="宋体"/>
          <w:color w:val="auto"/>
          <w:szCs w:val="21"/>
          <w:highlight w:val="none"/>
        </w:rPr>
        <w:t>本捌</w:t>
      </w:r>
      <w:r>
        <w:rPr>
          <w:rFonts w:ascii="宋体" w:hAnsi="宋体"/>
          <w:color w:val="auto"/>
          <w:szCs w:val="21"/>
          <w:highlight w:val="none"/>
        </w:rPr>
        <w:t>份，</w:t>
      </w:r>
      <w:r>
        <w:rPr>
          <w:rFonts w:hint="eastAsia" w:ascii="宋体" w:hAnsi="宋体"/>
          <w:color w:val="auto"/>
          <w:szCs w:val="21"/>
          <w:highlight w:val="none"/>
        </w:rPr>
        <w:t>双</w:t>
      </w:r>
      <w:r>
        <w:rPr>
          <w:rFonts w:ascii="宋体" w:hAnsi="宋体"/>
          <w:color w:val="auto"/>
          <w:szCs w:val="21"/>
          <w:highlight w:val="none"/>
        </w:rPr>
        <w:t>方各执</w:t>
      </w:r>
      <w:r>
        <w:rPr>
          <w:rFonts w:hint="eastAsia" w:ascii="宋体" w:hAnsi="宋体"/>
          <w:color w:val="auto"/>
          <w:szCs w:val="21"/>
          <w:highlight w:val="none"/>
        </w:rPr>
        <w:t>肆</w:t>
      </w:r>
      <w:r>
        <w:rPr>
          <w:rFonts w:ascii="宋体" w:hAnsi="宋体"/>
          <w:color w:val="auto"/>
          <w:szCs w:val="21"/>
          <w:highlight w:val="none"/>
        </w:rPr>
        <w:t>份。正副本具有同等法律效力</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zh-CN"/>
        </w:rPr>
        <w:t>九、</w:t>
      </w:r>
      <w:r>
        <w:rPr>
          <w:rFonts w:hint="eastAsia" w:ascii="宋体" w:hAnsi="宋体"/>
          <w:color w:val="auto"/>
          <w:szCs w:val="21"/>
          <w:highlight w:val="none"/>
        </w:rPr>
        <w:t>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autoSpaceDE w:val="0"/>
        <w:autoSpaceDN w:val="0"/>
        <w:adjustRightInd w:val="0"/>
        <w:snapToGrid w:val="0"/>
        <w:spacing w:line="360" w:lineRule="auto"/>
        <w:ind w:firstLine="411" w:firstLineChars="196"/>
        <w:rPr>
          <w:rFonts w:ascii="宋体" w:hAnsi="宋体"/>
          <w:color w:val="auto"/>
          <w:szCs w:val="21"/>
          <w:highlight w:val="none"/>
        </w:rPr>
      </w:pPr>
    </w:p>
    <w:p>
      <w:pPr>
        <w:pStyle w:val="2"/>
        <w:rPr>
          <w:color w:val="auto"/>
          <w:highlight w:val="none"/>
        </w:rPr>
        <w:sectPr>
          <w:pgSz w:w="11906" w:h="16838"/>
          <w:pgMar w:top="1418" w:right="1304" w:bottom="1304" w:left="1418" w:header="851" w:footer="992" w:gutter="0"/>
          <w:cols w:space="720" w:num="1"/>
          <w:docGrid w:linePitch="634" w:charSpace="0"/>
        </w:sectPr>
      </w:pPr>
    </w:p>
    <w:p>
      <w:pPr>
        <w:spacing w:line="360" w:lineRule="auto"/>
        <w:rPr>
          <w:rFonts w:ascii="宋体" w:hAnsi="宋体"/>
          <w:color w:val="auto"/>
          <w:sz w:val="22"/>
          <w:highlight w:val="none"/>
        </w:rPr>
      </w:pPr>
    </w:p>
    <w:p>
      <w:pPr>
        <w:spacing w:line="360" w:lineRule="auto"/>
        <w:rPr>
          <w:rFonts w:ascii="宋体" w:hAnsi="宋体"/>
          <w:color w:val="auto"/>
          <w:sz w:val="22"/>
          <w:highlight w:val="none"/>
        </w:rPr>
      </w:pPr>
    </w:p>
    <w:p>
      <w:pPr>
        <w:spacing w:line="360" w:lineRule="auto"/>
        <w:rPr>
          <w:rFonts w:ascii="宋体" w:hAnsi="宋体"/>
          <w:color w:val="auto"/>
          <w:highlight w:val="none"/>
        </w:rPr>
      </w:pPr>
      <w:r>
        <w:rPr>
          <w:rFonts w:hint="eastAsia" w:ascii="宋体" w:hAnsi="宋体"/>
          <w:color w:val="auto"/>
          <w:sz w:val="22"/>
          <w:highlight w:val="none"/>
        </w:rPr>
        <w:t>委托人：</w:t>
      </w:r>
      <w:r>
        <w:rPr>
          <w:rFonts w:hint="eastAsia" w:ascii="宋体" w:hAnsi="宋体"/>
          <w:color w:val="auto"/>
          <w:sz w:val="22"/>
          <w:highlight w:val="none"/>
          <w:u w:val="single"/>
        </w:rPr>
        <w:t xml:space="preserve">       （盖章）     </w:t>
      </w:r>
    </w:p>
    <w:p>
      <w:pPr>
        <w:spacing w:line="360" w:lineRule="auto"/>
        <w:rPr>
          <w:rFonts w:ascii="宋体" w:hAnsi="宋体"/>
          <w:color w:val="auto"/>
          <w:highlight w:val="none"/>
        </w:rPr>
      </w:pPr>
      <w:r>
        <w:rPr>
          <w:rFonts w:hint="eastAsia" w:ascii="宋体" w:hAnsi="宋体"/>
          <w:color w:val="auto"/>
          <w:sz w:val="22"/>
          <w:highlight w:val="none"/>
        </w:rPr>
        <w:t xml:space="preserve">住所： </w:t>
      </w:r>
      <w:r>
        <w:rPr>
          <w:rFonts w:hint="eastAsia" w:ascii="宋体" w:hAnsi="宋体"/>
          <w:color w:val="auto"/>
          <w:sz w:val="22"/>
          <w:highlight w:val="none"/>
          <w:u w:val="single"/>
        </w:rPr>
        <w:t xml:space="preserve">                     </w:t>
      </w:r>
    </w:p>
    <w:p>
      <w:pPr>
        <w:spacing w:line="360" w:lineRule="auto"/>
        <w:rPr>
          <w:rFonts w:ascii="宋体" w:hAnsi="宋体"/>
          <w:color w:val="auto"/>
          <w:highlight w:val="none"/>
        </w:rPr>
      </w:pPr>
      <w:r>
        <w:rPr>
          <w:rFonts w:hint="eastAsia" w:ascii="宋体" w:hAnsi="宋体"/>
          <w:color w:val="auto"/>
          <w:sz w:val="22"/>
          <w:highlight w:val="none"/>
        </w:rPr>
        <w:t>邮政编码：</w:t>
      </w:r>
      <w:r>
        <w:rPr>
          <w:rFonts w:hint="eastAsia" w:ascii="宋体" w:hAnsi="宋体"/>
          <w:color w:val="auto"/>
          <w:sz w:val="22"/>
          <w:highlight w:val="none"/>
          <w:u w:val="single"/>
        </w:rPr>
        <w:t xml:space="preserve">                  </w:t>
      </w:r>
    </w:p>
    <w:p>
      <w:pPr>
        <w:adjustRightInd w:val="0"/>
        <w:snapToGrid w:val="0"/>
        <w:spacing w:line="400" w:lineRule="exact"/>
        <w:rPr>
          <w:rFonts w:ascii="宋体" w:hAnsi="宋体"/>
          <w:color w:val="auto"/>
          <w:sz w:val="22"/>
          <w:highlight w:val="none"/>
        </w:rPr>
      </w:pPr>
      <w:r>
        <w:rPr>
          <w:rFonts w:hint="eastAsia" w:ascii="宋体" w:hAnsi="宋体"/>
          <w:color w:val="auto"/>
          <w:sz w:val="22"/>
          <w:highlight w:val="none"/>
        </w:rPr>
        <w:t xml:space="preserve">法定代表人或其授权 </w:t>
      </w:r>
    </w:p>
    <w:p>
      <w:pPr>
        <w:spacing w:line="360" w:lineRule="auto"/>
        <w:rPr>
          <w:rFonts w:ascii="宋体" w:hAnsi="宋体"/>
          <w:color w:val="auto"/>
          <w:highlight w:val="none"/>
        </w:rPr>
      </w:pPr>
      <w:r>
        <w:rPr>
          <w:rFonts w:hint="eastAsia" w:ascii="宋体" w:hAnsi="宋体"/>
          <w:color w:val="auto"/>
          <w:sz w:val="22"/>
          <w:highlight w:val="none"/>
        </w:rPr>
        <w:t>的代理人：</w:t>
      </w:r>
      <w:r>
        <w:rPr>
          <w:rFonts w:hint="eastAsia" w:ascii="宋体" w:hAnsi="宋体"/>
          <w:color w:val="auto"/>
          <w:sz w:val="22"/>
          <w:highlight w:val="none"/>
          <w:u w:val="single"/>
        </w:rPr>
        <w:t xml:space="preserve">    （签字）      </w:t>
      </w:r>
    </w:p>
    <w:p>
      <w:pPr>
        <w:spacing w:line="360" w:lineRule="auto"/>
        <w:rPr>
          <w:rFonts w:ascii="宋体" w:hAnsi="宋体"/>
          <w:color w:val="auto"/>
          <w:highlight w:val="none"/>
        </w:rPr>
      </w:pPr>
      <w:r>
        <w:rPr>
          <w:rFonts w:hint="eastAsia" w:ascii="宋体" w:hAnsi="宋体"/>
          <w:color w:val="auto"/>
          <w:sz w:val="22"/>
          <w:highlight w:val="none"/>
        </w:rPr>
        <w:t>开户银行：</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账号：</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电话：</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传真：</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电子邮箱：</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p>
    <w:p>
      <w:pPr>
        <w:spacing w:line="360" w:lineRule="auto"/>
        <w:rPr>
          <w:rFonts w:ascii="宋体" w:hAnsi="宋体"/>
          <w:color w:val="auto"/>
          <w:sz w:val="22"/>
          <w:highlight w:val="none"/>
          <w:u w:val="single"/>
        </w:rPr>
      </w:pPr>
    </w:p>
    <w:p>
      <w:pPr>
        <w:spacing w:line="360" w:lineRule="auto"/>
        <w:rPr>
          <w:rFonts w:ascii="宋体" w:hAnsi="宋体"/>
          <w:color w:val="auto"/>
          <w:sz w:val="22"/>
          <w:highlight w:val="none"/>
          <w:u w:val="single"/>
        </w:rPr>
      </w:pPr>
    </w:p>
    <w:p>
      <w:pPr>
        <w:spacing w:line="360" w:lineRule="auto"/>
        <w:rPr>
          <w:rFonts w:ascii="宋体" w:hAnsi="宋体"/>
          <w:color w:val="auto"/>
          <w:sz w:val="22"/>
          <w:highlight w:val="none"/>
          <w:u w:val="single"/>
        </w:rPr>
      </w:pPr>
    </w:p>
    <w:p>
      <w:pPr>
        <w:spacing w:line="360" w:lineRule="auto"/>
        <w:rPr>
          <w:rFonts w:ascii="宋体" w:hAnsi="宋体"/>
          <w:color w:val="auto"/>
          <w:sz w:val="22"/>
          <w:highlight w:val="none"/>
          <w:u w:val="single"/>
        </w:rPr>
      </w:pPr>
    </w:p>
    <w:p>
      <w:pPr>
        <w:spacing w:line="360" w:lineRule="auto"/>
        <w:rPr>
          <w:rFonts w:hint="eastAsia" w:ascii="宋体" w:hAnsi="宋体"/>
          <w:color w:val="auto"/>
          <w:sz w:val="22"/>
          <w:highlight w:val="none"/>
        </w:rPr>
      </w:pPr>
    </w:p>
    <w:p>
      <w:pPr>
        <w:spacing w:line="360" w:lineRule="auto"/>
        <w:rPr>
          <w:rFonts w:hint="eastAsia" w:ascii="宋体" w:hAnsi="宋体"/>
          <w:color w:val="auto"/>
          <w:sz w:val="22"/>
          <w:highlight w:val="none"/>
        </w:rPr>
      </w:pPr>
    </w:p>
    <w:p>
      <w:pPr>
        <w:spacing w:line="360" w:lineRule="auto"/>
        <w:rPr>
          <w:rFonts w:ascii="宋体" w:hAnsi="宋体"/>
          <w:color w:val="auto"/>
          <w:sz w:val="22"/>
          <w:highlight w:val="none"/>
          <w:u w:val="single"/>
        </w:rPr>
      </w:pPr>
      <w:r>
        <w:rPr>
          <w:rFonts w:hint="eastAsia" w:ascii="宋体" w:hAnsi="宋体"/>
          <w:color w:val="auto"/>
          <w:sz w:val="22"/>
          <w:highlight w:val="none"/>
        </w:rPr>
        <w:t>监理人：</w:t>
      </w:r>
      <w:r>
        <w:rPr>
          <w:rFonts w:hint="eastAsia" w:ascii="宋体" w:hAnsi="宋体"/>
          <w:color w:val="auto"/>
          <w:sz w:val="22"/>
          <w:highlight w:val="none"/>
          <w:u w:val="single"/>
        </w:rPr>
        <w:t xml:space="preserve">      （盖章）      </w:t>
      </w:r>
    </w:p>
    <w:p>
      <w:pPr>
        <w:spacing w:line="360" w:lineRule="auto"/>
        <w:rPr>
          <w:rFonts w:ascii="宋体" w:hAnsi="宋体"/>
          <w:color w:val="auto"/>
          <w:highlight w:val="none"/>
        </w:rPr>
      </w:pPr>
      <w:r>
        <w:rPr>
          <w:rFonts w:hint="eastAsia" w:ascii="宋体" w:hAnsi="宋体"/>
          <w:color w:val="auto"/>
          <w:sz w:val="22"/>
          <w:highlight w:val="none"/>
        </w:rPr>
        <w:t xml:space="preserve">住所： </w:t>
      </w:r>
      <w:r>
        <w:rPr>
          <w:rFonts w:hint="eastAsia" w:ascii="宋体" w:hAnsi="宋体"/>
          <w:color w:val="auto"/>
          <w:sz w:val="22"/>
          <w:highlight w:val="none"/>
          <w:u w:val="single"/>
        </w:rPr>
        <w:t xml:space="preserve">                     </w:t>
      </w:r>
    </w:p>
    <w:p>
      <w:pPr>
        <w:spacing w:line="360" w:lineRule="auto"/>
        <w:rPr>
          <w:rFonts w:ascii="宋体" w:hAnsi="宋体"/>
          <w:color w:val="auto"/>
          <w:highlight w:val="none"/>
        </w:rPr>
      </w:pPr>
      <w:r>
        <w:rPr>
          <w:rFonts w:hint="eastAsia" w:ascii="宋体" w:hAnsi="宋体"/>
          <w:color w:val="auto"/>
          <w:sz w:val="22"/>
          <w:highlight w:val="none"/>
        </w:rPr>
        <w:t>邮政编码：</w:t>
      </w:r>
      <w:r>
        <w:rPr>
          <w:rFonts w:hint="eastAsia" w:ascii="宋体" w:hAnsi="宋体"/>
          <w:color w:val="auto"/>
          <w:sz w:val="22"/>
          <w:highlight w:val="none"/>
          <w:u w:val="single"/>
        </w:rPr>
        <w:t xml:space="preserve">                  </w:t>
      </w:r>
    </w:p>
    <w:p>
      <w:pPr>
        <w:adjustRightInd w:val="0"/>
        <w:snapToGrid w:val="0"/>
        <w:spacing w:line="400" w:lineRule="exact"/>
        <w:rPr>
          <w:rFonts w:ascii="宋体" w:hAnsi="宋体"/>
          <w:color w:val="auto"/>
          <w:sz w:val="22"/>
          <w:highlight w:val="none"/>
        </w:rPr>
      </w:pPr>
      <w:r>
        <w:rPr>
          <w:rFonts w:hint="eastAsia" w:ascii="宋体" w:hAnsi="宋体"/>
          <w:color w:val="auto"/>
          <w:sz w:val="22"/>
          <w:highlight w:val="none"/>
        </w:rPr>
        <w:t xml:space="preserve">法定代表人或其授权 </w:t>
      </w:r>
    </w:p>
    <w:p>
      <w:pPr>
        <w:spacing w:line="360" w:lineRule="auto"/>
        <w:rPr>
          <w:rFonts w:ascii="宋体" w:hAnsi="宋体"/>
          <w:color w:val="auto"/>
          <w:highlight w:val="none"/>
        </w:rPr>
      </w:pPr>
      <w:r>
        <w:rPr>
          <w:rFonts w:hint="eastAsia" w:ascii="宋体" w:hAnsi="宋体"/>
          <w:color w:val="auto"/>
          <w:sz w:val="22"/>
          <w:highlight w:val="none"/>
        </w:rPr>
        <w:t>的代理人：</w:t>
      </w:r>
      <w:r>
        <w:rPr>
          <w:rFonts w:hint="eastAsia" w:ascii="宋体" w:hAnsi="宋体"/>
          <w:color w:val="auto"/>
          <w:sz w:val="22"/>
          <w:highlight w:val="none"/>
          <w:u w:val="single"/>
        </w:rPr>
        <w:t xml:space="preserve">     （签字）     </w:t>
      </w:r>
    </w:p>
    <w:p>
      <w:pPr>
        <w:spacing w:line="360" w:lineRule="auto"/>
        <w:rPr>
          <w:rFonts w:ascii="宋体" w:hAnsi="宋体"/>
          <w:color w:val="auto"/>
          <w:highlight w:val="none"/>
        </w:rPr>
      </w:pPr>
      <w:r>
        <w:rPr>
          <w:rFonts w:hint="eastAsia" w:ascii="宋体" w:hAnsi="宋体"/>
          <w:color w:val="auto"/>
          <w:sz w:val="22"/>
          <w:highlight w:val="none"/>
        </w:rPr>
        <w:t>开户银行：</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账号：</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电话：</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u w:val="single"/>
        </w:rPr>
      </w:pPr>
      <w:r>
        <w:rPr>
          <w:rFonts w:hint="eastAsia" w:ascii="宋体" w:hAnsi="宋体"/>
          <w:color w:val="auto"/>
          <w:sz w:val="22"/>
          <w:highlight w:val="none"/>
        </w:rPr>
        <w:t>传真：</w:t>
      </w:r>
      <w:r>
        <w:rPr>
          <w:rFonts w:hint="eastAsia" w:ascii="宋体" w:hAnsi="宋体"/>
          <w:color w:val="auto"/>
          <w:sz w:val="22"/>
          <w:highlight w:val="none"/>
          <w:u w:val="single"/>
        </w:rPr>
        <w:t xml:space="preserve">                      </w:t>
      </w:r>
    </w:p>
    <w:p>
      <w:pPr>
        <w:spacing w:line="360" w:lineRule="auto"/>
        <w:rPr>
          <w:rFonts w:ascii="宋体" w:hAnsi="宋体"/>
          <w:color w:val="auto"/>
          <w:highlight w:val="none"/>
        </w:rPr>
      </w:pPr>
      <w:r>
        <w:rPr>
          <w:rFonts w:hint="eastAsia" w:ascii="宋体" w:hAnsi="宋体"/>
          <w:color w:val="auto"/>
          <w:sz w:val="22"/>
          <w:highlight w:val="none"/>
        </w:rPr>
        <w:t>电子邮箱：</w:t>
      </w:r>
      <w:r>
        <w:rPr>
          <w:rFonts w:hint="eastAsia" w:ascii="宋体" w:hAnsi="宋体"/>
          <w:color w:val="auto"/>
          <w:sz w:val="22"/>
          <w:highlight w:val="none"/>
          <w:u w:val="single"/>
        </w:rPr>
        <w:t xml:space="preserve">                  </w:t>
      </w:r>
    </w:p>
    <w:p>
      <w:pPr>
        <w:spacing w:line="360" w:lineRule="auto"/>
        <w:rPr>
          <w:rFonts w:ascii="宋体" w:hAnsi="宋体"/>
          <w:color w:val="auto"/>
          <w:sz w:val="22"/>
          <w:highlight w:val="none"/>
        </w:rPr>
        <w:sectPr>
          <w:type w:val="continuous"/>
          <w:pgSz w:w="11906" w:h="16838"/>
          <w:pgMar w:top="1418" w:right="1304" w:bottom="1304" w:left="1418" w:header="851" w:footer="992" w:gutter="0"/>
          <w:cols w:space="720" w:num="2"/>
          <w:docGrid w:linePitch="634" w:charSpace="0"/>
        </w:sectPr>
      </w:pPr>
    </w:p>
    <w:p>
      <w:pPr>
        <w:pStyle w:val="5"/>
        <w:adjustRightInd w:val="0"/>
        <w:spacing w:before="0" w:after="0" w:line="500" w:lineRule="exact"/>
        <w:jc w:val="center"/>
        <w:rPr>
          <w:rFonts w:ascii="宋体" w:hAnsi="宋体"/>
          <w:color w:val="auto"/>
          <w:sz w:val="22"/>
          <w:szCs w:val="22"/>
          <w:highlight w:val="none"/>
        </w:rPr>
      </w:pPr>
      <w:r>
        <w:rPr>
          <w:rFonts w:ascii="宋体" w:hAnsi="宋体"/>
          <w:color w:val="auto"/>
          <w:sz w:val="30"/>
          <w:szCs w:val="30"/>
          <w:highlight w:val="none"/>
        </w:rPr>
        <w:t xml:space="preserve">第二部分  </w:t>
      </w:r>
      <w:r>
        <w:rPr>
          <w:rFonts w:hint="eastAsia" w:ascii="宋体" w:hAnsi="宋体"/>
          <w:color w:val="auto"/>
          <w:sz w:val="30"/>
          <w:szCs w:val="30"/>
          <w:highlight w:val="none"/>
        </w:rPr>
        <w:t>通用</w:t>
      </w:r>
      <w:r>
        <w:rPr>
          <w:rFonts w:ascii="宋体" w:hAnsi="宋体"/>
          <w:color w:val="auto"/>
          <w:sz w:val="30"/>
          <w:szCs w:val="30"/>
          <w:highlight w:val="none"/>
        </w:rPr>
        <w:t>条件</w:t>
      </w:r>
    </w:p>
    <w:p>
      <w:pPr>
        <w:spacing w:line="360" w:lineRule="auto"/>
        <w:rPr>
          <w:rFonts w:ascii="宋体" w:hAnsi="宋体"/>
          <w:color w:val="auto"/>
          <w:sz w:val="22"/>
          <w:highlight w:val="none"/>
        </w:rPr>
      </w:pPr>
    </w:p>
    <w:p>
      <w:pPr>
        <w:spacing w:line="360" w:lineRule="auto"/>
        <w:rPr>
          <w:rFonts w:ascii="宋体" w:hAnsi="宋体"/>
          <w:b/>
          <w:color w:val="auto"/>
          <w:szCs w:val="21"/>
          <w:highlight w:val="none"/>
        </w:rPr>
      </w:pPr>
      <w:r>
        <w:rPr>
          <w:rFonts w:hint="eastAsia" w:ascii="宋体" w:hAnsi="宋体"/>
          <w:b/>
          <w:color w:val="auto"/>
          <w:szCs w:val="21"/>
          <w:highlight w:val="none"/>
        </w:rPr>
        <w:t>1. 定义与解释</w:t>
      </w:r>
    </w:p>
    <w:p>
      <w:pPr>
        <w:spacing w:line="360" w:lineRule="auto"/>
        <w:ind w:left="210" w:leftChars="100"/>
        <w:rPr>
          <w:rFonts w:ascii="宋体" w:hAnsi="宋体"/>
          <w:bCs/>
          <w:color w:val="auto"/>
          <w:szCs w:val="21"/>
          <w:highlight w:val="none"/>
        </w:rPr>
      </w:pPr>
      <w:r>
        <w:rPr>
          <w:rFonts w:hint="eastAsia" w:ascii="宋体" w:hAnsi="宋体"/>
          <w:color w:val="auto"/>
          <w:szCs w:val="21"/>
          <w:highlight w:val="none"/>
        </w:rPr>
        <w:t xml:space="preserve">1.1 </w:t>
      </w:r>
      <w:r>
        <w:rPr>
          <w:rFonts w:hint="eastAsia" w:ascii="宋体" w:hAnsi="宋体"/>
          <w:bCs/>
          <w:color w:val="auto"/>
          <w:szCs w:val="21"/>
          <w:highlight w:val="none"/>
        </w:rPr>
        <w:t>定义</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除根据上下文另有其意义外，组成本合同的全部文件中的下列名词和用语应具有本款所赋予的含义：</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 “工程”是指按照本合同约定实施监理与相关服务的建设工程。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1.1.2 “委托人”是指本合同中委托监理与相关服务的一方，及其合法的继承人或受让人。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1.1.3 “监理人”是指本合同中提供监理与相关服务的一方，及其合法的继承人。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1.1.4 “承包人”是指在工程范围内与委托人签订勘察、设计、施工等有关合同的当事人，及其合法的继承人。</w:t>
      </w:r>
    </w:p>
    <w:p>
      <w:pPr>
        <w:pStyle w:val="11"/>
        <w:spacing w:line="360" w:lineRule="auto"/>
        <w:ind w:firstLine="420" w:firstLineChars="200"/>
        <w:rPr>
          <w:rFonts w:hAnsi="宋体"/>
          <w:color w:val="auto"/>
          <w:highlight w:val="none"/>
        </w:rPr>
      </w:pPr>
      <w:r>
        <w:rPr>
          <w:rFonts w:hint="eastAsia" w:hAnsi="宋体"/>
          <w:color w:val="auto"/>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1.1.6 “相关服务”是指监理人受委托人的委托 ，按照本合同约定，在勘察、设计、保修等阶段提供的服务活动。</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1.1.7 “正常工作”指本合同订立时通用条件和专用条件中约定的监理人的工作。</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1.1.8 “附加工作”是指本合同约定的正常工作以外监理人的工作。</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1.1.9 “项目监理机构”是指监理人派驻工程负责履行本合同的组织机构。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1.1.10 “总监理工程师”是指由监理人的法定代表人书面授权，全面负责履行本合同、主持项目监理机构工作的注册监理工程师。</w:t>
      </w:r>
    </w:p>
    <w:p>
      <w:pPr>
        <w:adjustRightInd w:val="0"/>
        <w:snapToGrid w:val="0"/>
        <w:spacing w:line="360" w:lineRule="auto"/>
        <w:ind w:firstLine="415" w:firstLineChars="198"/>
        <w:rPr>
          <w:rFonts w:ascii="宋体" w:hAnsi="宋体"/>
          <w:color w:val="auto"/>
          <w:szCs w:val="21"/>
          <w:highlight w:val="none"/>
        </w:rPr>
      </w:pPr>
      <w:r>
        <w:rPr>
          <w:rFonts w:hint="eastAsia" w:ascii="宋体" w:hAnsi="宋体"/>
          <w:color w:val="auto"/>
          <w:szCs w:val="21"/>
          <w:highlight w:val="none"/>
        </w:rPr>
        <w:t>1.1.11 “酬金”是指监理人履行本合同义务，委托人按照本合同约定给付监理人的金额。</w:t>
      </w:r>
    </w:p>
    <w:p>
      <w:pPr>
        <w:adjustRightInd w:val="0"/>
        <w:snapToGrid w:val="0"/>
        <w:spacing w:line="360" w:lineRule="auto"/>
        <w:ind w:firstLine="415" w:firstLineChars="198"/>
        <w:rPr>
          <w:rFonts w:ascii="宋体" w:hAnsi="宋体"/>
          <w:color w:val="auto"/>
          <w:szCs w:val="21"/>
          <w:highlight w:val="none"/>
        </w:rPr>
      </w:pPr>
      <w:r>
        <w:rPr>
          <w:rFonts w:hint="eastAsia" w:ascii="宋体" w:hAnsi="宋体"/>
          <w:color w:val="auto"/>
          <w:szCs w:val="21"/>
          <w:highlight w:val="none"/>
        </w:rPr>
        <w:t>1.1.12 “正常工作</w:t>
      </w:r>
      <w:r>
        <w:rPr>
          <w:rFonts w:hint="eastAsia" w:ascii="宋体" w:hAnsi="宋体" w:cs="宋体"/>
          <w:color w:val="auto"/>
          <w:kern w:val="0"/>
          <w:szCs w:val="21"/>
          <w:highlight w:val="none"/>
        </w:rPr>
        <w:t>酬金”</w:t>
      </w:r>
      <w:r>
        <w:rPr>
          <w:rFonts w:hint="eastAsia" w:ascii="宋体" w:hAnsi="宋体"/>
          <w:color w:val="auto"/>
          <w:szCs w:val="21"/>
          <w:highlight w:val="none"/>
        </w:rPr>
        <w:t>是指监理人完成正常工作，委托人应给付监理人并在协议书中载明的签约</w:t>
      </w:r>
      <w:r>
        <w:rPr>
          <w:rFonts w:hint="eastAsia" w:ascii="宋体" w:hAnsi="宋体" w:cs="宋体"/>
          <w:color w:val="auto"/>
          <w:kern w:val="0"/>
          <w:szCs w:val="21"/>
          <w:highlight w:val="none"/>
        </w:rPr>
        <w:t>酬金额</w:t>
      </w:r>
      <w:r>
        <w:rPr>
          <w:rFonts w:hint="eastAsia" w:ascii="宋体" w:hAnsi="宋体"/>
          <w:color w:val="auto"/>
          <w:szCs w:val="21"/>
          <w:highlight w:val="none"/>
        </w:rPr>
        <w:t>。</w:t>
      </w:r>
    </w:p>
    <w:p>
      <w:pPr>
        <w:adjustRightInd w:val="0"/>
        <w:snapToGrid w:val="0"/>
        <w:spacing w:line="360" w:lineRule="auto"/>
        <w:ind w:firstLine="415" w:firstLineChars="198"/>
        <w:rPr>
          <w:rFonts w:ascii="宋体" w:hAnsi="宋体"/>
          <w:color w:val="auto"/>
          <w:szCs w:val="21"/>
          <w:highlight w:val="none"/>
        </w:rPr>
      </w:pPr>
      <w:r>
        <w:rPr>
          <w:rFonts w:hint="eastAsia" w:ascii="宋体" w:hAnsi="宋体"/>
          <w:color w:val="auto"/>
          <w:szCs w:val="21"/>
          <w:highlight w:val="none"/>
        </w:rPr>
        <w:t>1.1.13 “附加工作酬金”是指监理人完成附加工作，委托人应给付监理人的金额。</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1.1.14 “一方”是指委托人或监理人；“双方”是指委托人和监理人；“第三方”是指除委托人和监理人以外的有关方。</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1.1.16 “天”是指第一天零时至第二天零时的时间。</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1.1.17“月”是指按公历从一个月中任何一天开始的一个公历月时间。</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1.1.18“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ascii="宋体" w:hAnsi="宋体"/>
          <w:color w:val="auto"/>
          <w:szCs w:val="21"/>
          <w:highlight w:val="none"/>
        </w:rPr>
      </w:pPr>
      <w:r>
        <w:rPr>
          <w:rFonts w:hint="eastAsia" w:ascii="宋体" w:hAnsi="宋体"/>
          <w:bCs/>
          <w:color w:val="auto"/>
          <w:szCs w:val="21"/>
          <w:highlight w:val="none"/>
        </w:rPr>
        <w:t xml:space="preserve">1.2 </w:t>
      </w:r>
      <w:r>
        <w:rPr>
          <w:rFonts w:hint="eastAsia" w:ascii="宋体" w:hAnsi="宋体"/>
          <w:color w:val="auto"/>
          <w:szCs w:val="21"/>
          <w:highlight w:val="none"/>
        </w:rPr>
        <w:t>解释</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1.2.2 组成本合同的下列文件彼此应能相互解释、互为说明。除专用条件另有约定外，本合同文件的解释顺序如下：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（1）协议书；</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（2）中标通知书（适用于招标工程）或委托书（适用于非招标工程）；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（3）专用条件及附录A、附录B；</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（4）通用条件；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（5）投标文件（适用于招标工程）或监理与相关服务建议书（适用于非招标工程）。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双方签订的补充协议与其他文件发生矛盾或歧义时，属于同一类内容的文件，应以最新签署的为准。</w:t>
      </w:r>
    </w:p>
    <w:p>
      <w:pPr>
        <w:spacing w:line="360" w:lineRule="auto"/>
        <w:rPr>
          <w:rFonts w:ascii="宋体" w:hAnsi="宋体"/>
          <w:b/>
          <w:color w:val="auto"/>
          <w:szCs w:val="21"/>
          <w:highlight w:val="none"/>
        </w:rPr>
      </w:pPr>
      <w:r>
        <w:rPr>
          <w:rFonts w:hint="eastAsia" w:ascii="宋体" w:hAnsi="宋体"/>
          <w:b/>
          <w:color w:val="auto"/>
          <w:szCs w:val="21"/>
          <w:highlight w:val="none"/>
        </w:rPr>
        <w:t>2. 监理人的义务</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 监理的范围和工作内容</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2.1.1 监理范围在专用条件中约定。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2.1.2 除专用条件另有约定外，监理工作内容包括：</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（1）协助委托人做好施工图设计监理、项目前期证件办理等工作。收到工程设计文件后编制监理规划，并在第一次工地会议7天前报委托人。根据有关规定和监理工作需要，编制监理实施细则；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（2）熟悉工程设计文件，并参加由委托人主持的图纸会审和设计交底会议；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（3）参加由委托人主持的第一次工地会议；主持监理例会并根据工程需要主持或参加专题会议；</w:t>
      </w:r>
    </w:p>
    <w:p>
      <w:pPr>
        <w:adjustRightInd w:val="0"/>
        <w:snapToGrid w:val="0"/>
        <w:spacing w:line="360" w:lineRule="auto"/>
        <w:ind w:firstLine="450"/>
        <w:rPr>
          <w:rFonts w:ascii="宋体" w:hAnsi="宋体"/>
          <w:color w:val="auto"/>
          <w:szCs w:val="21"/>
          <w:highlight w:val="none"/>
        </w:rPr>
      </w:pPr>
      <w:r>
        <w:rPr>
          <w:rFonts w:hint="eastAsia" w:ascii="宋体" w:hAnsi="宋体"/>
          <w:color w:val="auto"/>
          <w:szCs w:val="21"/>
          <w:highlight w:val="none"/>
        </w:rPr>
        <w:t>（4）审查施工承包人提交的施工组织设计，重点审查其中的质量安全技术措施、专项施工方案与工程建设强制性标准的符合性；</w:t>
      </w:r>
    </w:p>
    <w:p>
      <w:pPr>
        <w:adjustRightInd w:val="0"/>
        <w:snapToGrid w:val="0"/>
        <w:spacing w:line="360" w:lineRule="auto"/>
        <w:ind w:firstLine="450"/>
        <w:rPr>
          <w:rFonts w:ascii="宋体" w:hAnsi="宋体"/>
          <w:color w:val="auto"/>
          <w:szCs w:val="21"/>
          <w:highlight w:val="none"/>
        </w:rPr>
      </w:pPr>
      <w:r>
        <w:rPr>
          <w:rFonts w:hint="eastAsia" w:ascii="宋体" w:hAnsi="宋体"/>
          <w:color w:val="auto"/>
          <w:szCs w:val="21"/>
          <w:highlight w:val="none"/>
        </w:rPr>
        <w:t xml:space="preserve">（5）检查施工承包人工程质量、安全生产管理制度及组织机构和人员资格； </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（6）检查施工承包人专职安全生产管理人员的配备情况；</w:t>
      </w:r>
    </w:p>
    <w:p>
      <w:pPr>
        <w:adjustRightInd w:val="0"/>
        <w:snapToGrid w:val="0"/>
        <w:spacing w:line="360" w:lineRule="auto"/>
        <w:ind w:firstLine="435"/>
        <w:rPr>
          <w:rFonts w:ascii="宋体" w:hAnsi="宋体"/>
          <w:color w:val="auto"/>
          <w:szCs w:val="21"/>
          <w:highlight w:val="none"/>
        </w:rPr>
      </w:pPr>
      <w:r>
        <w:rPr>
          <w:rFonts w:hint="eastAsia" w:ascii="宋体" w:hAnsi="宋体"/>
          <w:color w:val="auto"/>
          <w:szCs w:val="21"/>
          <w:highlight w:val="none"/>
        </w:rPr>
        <w:t>（7）审查施工承包人提交的施工进度计划，核查承包人对施工进度计划的调整；</w:t>
      </w:r>
    </w:p>
    <w:p>
      <w:pPr>
        <w:adjustRightInd w:val="0"/>
        <w:snapToGrid w:val="0"/>
        <w:spacing w:line="360" w:lineRule="auto"/>
        <w:ind w:firstLine="435"/>
        <w:rPr>
          <w:rFonts w:ascii="宋体" w:hAnsi="宋体"/>
          <w:color w:val="auto"/>
          <w:szCs w:val="21"/>
          <w:highlight w:val="none"/>
        </w:rPr>
      </w:pPr>
      <w:r>
        <w:rPr>
          <w:rFonts w:hint="eastAsia" w:ascii="宋体" w:hAnsi="宋体"/>
          <w:color w:val="auto"/>
          <w:szCs w:val="21"/>
          <w:highlight w:val="none"/>
        </w:rPr>
        <w:t>（8）检查施工承包人的试验室；</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（9）审核施工分包人资质条件；</w:t>
      </w:r>
    </w:p>
    <w:p>
      <w:pPr>
        <w:spacing w:line="360" w:lineRule="auto"/>
        <w:ind w:firstLine="435"/>
        <w:rPr>
          <w:rFonts w:ascii="宋体" w:hAnsi="宋体"/>
          <w:color w:val="auto"/>
          <w:szCs w:val="21"/>
          <w:highlight w:val="none"/>
        </w:rPr>
      </w:pPr>
      <w:r>
        <w:rPr>
          <w:rFonts w:hint="eastAsia" w:ascii="宋体" w:hAnsi="宋体"/>
          <w:color w:val="auto"/>
          <w:szCs w:val="21"/>
          <w:highlight w:val="none"/>
        </w:rPr>
        <w:t>（10）查验施工承包人的施工测量放线成果；</w:t>
      </w:r>
    </w:p>
    <w:p>
      <w:pPr>
        <w:spacing w:line="360" w:lineRule="auto"/>
        <w:ind w:firstLine="435"/>
        <w:rPr>
          <w:rFonts w:ascii="宋体" w:hAnsi="宋体"/>
          <w:color w:val="auto"/>
          <w:szCs w:val="21"/>
          <w:highlight w:val="none"/>
        </w:rPr>
      </w:pPr>
      <w:r>
        <w:rPr>
          <w:rFonts w:hint="eastAsia" w:ascii="宋体" w:hAnsi="宋体"/>
          <w:color w:val="auto"/>
          <w:szCs w:val="21"/>
          <w:highlight w:val="none"/>
        </w:rPr>
        <w:t>（11）审查工程开工条件，对条件具备的签发开工令；</w:t>
      </w:r>
    </w:p>
    <w:p>
      <w:pPr>
        <w:spacing w:line="360" w:lineRule="auto"/>
        <w:ind w:firstLine="435"/>
        <w:rPr>
          <w:rFonts w:ascii="宋体" w:hAnsi="宋体"/>
          <w:color w:val="auto"/>
          <w:szCs w:val="21"/>
          <w:highlight w:val="none"/>
        </w:rPr>
      </w:pPr>
      <w:r>
        <w:rPr>
          <w:rFonts w:hint="eastAsia" w:ascii="宋体" w:hAnsi="宋体"/>
          <w:color w:val="auto"/>
          <w:szCs w:val="21"/>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ascii="宋体" w:hAnsi="宋体"/>
          <w:color w:val="auto"/>
          <w:szCs w:val="21"/>
          <w:highlight w:val="none"/>
        </w:rPr>
      </w:pPr>
      <w:r>
        <w:rPr>
          <w:rFonts w:hint="eastAsia" w:ascii="宋体" w:hAnsi="宋体"/>
          <w:color w:val="auto"/>
          <w:szCs w:val="21"/>
          <w:highlight w:val="none"/>
        </w:rPr>
        <w:t xml:space="preserve">     （13）审核施工承包人提交的工程款支付申请，签发或出具工程款支付证书，并报委托人审核、批准；</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（14）在巡视、旁站和检验过程中，发现工程质量、施工安全存在事故隐患的，要求施工承包人整改并报委托人；</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（15）经委托人同意，签发工程暂停令和复工令；</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（16）审查施工承包人提交的采用新材料、新工艺、新技术、新设备的论证材料及相关验收标准；</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（17）验收隐蔽工程、分部分项工程；</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（18）审查施工承包人提交的工程变更申请，协调处理施工进度调整、费用索赔、合同争议等事项；</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（19）审查施工承包人提交的竣工验收申请，编写工程质量评估报告；</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（20）参加工程竣工验收，签署竣工验收意见；</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（21）审查施工承包人提交的竣工结算申请并报委托人；</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（22）编制、整理工程监理归档文件并报委托人。</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2.1.3 相关服务的范围和内容在附录A中约定。</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 监理与相关服务依据</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 监理依据包括：</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（1）适用的法律、行政法规及部门规章；</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（2）与工程有关的标准；</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（3）工程设计及有关文件；</w:t>
      </w:r>
    </w:p>
    <w:p>
      <w:pPr>
        <w:tabs>
          <w:tab w:val="left" w:pos="61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（4）本合同及委托人与第三方签订的与实施工程有关的其他合同。</w:t>
      </w:r>
    </w:p>
    <w:p>
      <w:pPr>
        <w:tabs>
          <w:tab w:val="left" w:pos="6140"/>
        </w:tabs>
        <w:adjustRightInd w:val="0"/>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双方根据工程的行业和地域特点，在专用条件中具体约定监</w:t>
      </w:r>
      <w:r>
        <w:rPr>
          <w:rFonts w:hint="eastAsia" w:ascii="宋体" w:hAnsi="宋体"/>
          <w:bCs/>
          <w:color w:val="auto"/>
          <w:szCs w:val="21"/>
          <w:highlight w:val="none"/>
        </w:rPr>
        <w:t>理依据。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相关服务依据在专用条件中约定。</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olor w:val="auto"/>
          <w:kern w:val="0"/>
          <w:szCs w:val="21"/>
          <w:highlight w:val="none"/>
        </w:rPr>
        <w:t xml:space="preserve">2.3 </w:t>
      </w:r>
      <w:r>
        <w:rPr>
          <w:rFonts w:hint="eastAsia" w:ascii="宋体" w:hAnsi="宋体" w:cs="宋体"/>
          <w:color w:val="auto"/>
          <w:kern w:val="0"/>
          <w:szCs w:val="21"/>
          <w:highlight w:val="none"/>
        </w:rPr>
        <w:t>项目监理机构和人员</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2.3.1 监理人应组建满足工作需要的项目监理机构，配备必要的检测设备。项目监理机构的主要人员应具有相应的资格条件。</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2.3.2本合同履行过程中，总监理工程师及重要岗位监理人员应保持相对稳定，以保证监理工作正常进行。</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经委托人同意。</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2.3.4 监理人应及时更换有下列情形之一的监理人员：</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（1）严重过失行为的；</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（2）有违法行为不能履行职责的；</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（3）涉嫌犯罪的；</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（4）不能胜任岗位职责的；</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（5）严重违反职业道德的；</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（6）专用条件约定的其他情形。</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2.3.5 委托人可要求监理人更换不能胜任本职工作的项目监理机构人员。</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2.4 履行职责</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监理人应遵循职业道德准则和行为规范，严格按照法律法规、工程建设有关标准及本合同履行职责。</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2.4.2 当委托人与承包人之间的合同争议提交仲裁机构仲裁或人民法院审理时，监理人应提供必要的证明资料。</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在紧急情况下，为了保护财产和人身安全，监理人所发出的指令未能事先报委托人批准时，应在发出指令后的24小时内以书面形式报委托人。</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2.4.4 除专用条件另有约定外，监理人发现承包人的人员不能胜任本职工作的，有权要求承包人予以调换。</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2.5 提交报告</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监理人应按专用条件约定的种类、时间和份数向委托人提交监理与相关服务的报告。</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2.6 文件资料</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在本合同履行期内，监理人应在现场保留工作所用的图纸、报告及记录监理工作的相关文件。工程竣工后，应当按照档案管理规定将监理有关文件归档。</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2.7 使用委托人的财产</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ascii="宋体" w:hAnsi="宋体"/>
          <w:b/>
          <w:color w:val="auto"/>
          <w:kern w:val="0"/>
          <w:szCs w:val="21"/>
          <w:highlight w:val="none"/>
        </w:rPr>
      </w:pPr>
      <w:r>
        <w:rPr>
          <w:rFonts w:hint="eastAsia" w:ascii="宋体" w:hAnsi="宋体"/>
          <w:b/>
          <w:color w:val="auto"/>
          <w:kern w:val="0"/>
          <w:szCs w:val="21"/>
          <w:highlight w:val="none"/>
        </w:rPr>
        <w:t>3．委托人的义务</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3.1 告知</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委托人应在委托人与承包人签订的合同中明确监理人、总监理工程师和授予项目监理机构的权限。如有变更，应及时通知承包人。</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3.2 提供资料</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委托人应按照附录B约定，无偿向监理人提供工程有关的资料。在本合同履行过程中，委托人应及时向监理人提供最新的与工程有关的资料。</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3.3 提供工作条件</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委托人应为监理人完成监理与相关服务提供必要的条件。</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3.3.1 委托人应按照附录B约定，派遣相应的人员，提供房屋、设备，供监理人无偿使用。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3.3.2 委托人应负责协调工程建设中所有外部关系，为监理人履行本合同提供必要的外部条件。</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3.4 委托人代表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3.5 委托人意见或要求</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在本合同约定的监理与相关服务工作范围内，委托人对承包人的任何意见或要求应通知监理人，由监理人向承包人发出相应指令。</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3.6 答复</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委托人应在专用条件约定的时间内，对监理人以书面形式提交并要求作出决定的事宜，给予书面答复。逾期未答复的，视为委托人认可。</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3.7 支付</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委托人应按本合同约定，向监理人支付酬金。</w:t>
      </w:r>
    </w:p>
    <w:p>
      <w:pPr>
        <w:snapToGrid w:val="0"/>
        <w:spacing w:line="360" w:lineRule="auto"/>
        <w:rPr>
          <w:rFonts w:ascii="宋体" w:hAnsi="宋体"/>
          <w:b/>
          <w:bCs/>
          <w:color w:val="auto"/>
          <w:szCs w:val="21"/>
          <w:highlight w:val="none"/>
        </w:rPr>
      </w:pPr>
      <w:r>
        <w:rPr>
          <w:rFonts w:hint="eastAsia" w:ascii="宋体" w:hAnsi="宋体"/>
          <w:b/>
          <w:bCs/>
          <w:color w:val="auto"/>
          <w:szCs w:val="21"/>
          <w:highlight w:val="none"/>
        </w:rPr>
        <w:t>4. 违约责任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4.1 监理人的违约责任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监理人未履行本合同义务的，应承担相应的责任。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4.1.1 因监理人违反本合同约定给委托人造成损失的，监理人应当赔偿委托人损失。赔偿金额的确定方法在专用条件中约定。监理人承担部分赔偿责任的，其承担赔偿金额由双方协商确定。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4.1.2 监理人向委托人的索赔不成立时，监理人应赔偿委托人由此发生的费用。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4.2 委托人的违约责任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委托人未履行本合同义务的，应承担相应的责任。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4.2.1 委托人违反本合同约定造成监理人损失的，委托人应予以赔偿。</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4.2.2 委托人向监理人的索赔不成立时，应赔偿监理人由此引起的费用。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4.2.3 委托人未能按期支付酬金超过28天，应按专用条件约定支付逾期付款利息。</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4.3 除外责任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因非监理人的原因，且监理人无过错，发生工程质量事故、安全事故、工期延误等造成的损失，监理人不承担赔偿责任。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因不可抗力导致本合同全部或部分不能履行时，双方各自承担其因此而造成的损失、损害。</w:t>
      </w:r>
    </w:p>
    <w:p>
      <w:pPr>
        <w:snapToGrid w:val="0"/>
        <w:spacing w:line="360" w:lineRule="auto"/>
        <w:rPr>
          <w:rFonts w:ascii="宋体" w:hAnsi="宋体"/>
          <w:b/>
          <w:bCs/>
          <w:color w:val="auto"/>
          <w:szCs w:val="21"/>
          <w:highlight w:val="none"/>
        </w:rPr>
      </w:pPr>
      <w:r>
        <w:rPr>
          <w:rFonts w:hint="eastAsia" w:ascii="宋体" w:hAnsi="宋体"/>
          <w:b/>
          <w:bCs/>
          <w:color w:val="auto"/>
          <w:szCs w:val="21"/>
          <w:highlight w:val="none"/>
        </w:rPr>
        <w:t>5. 支付</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5.1 支付货币</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除专用条件另有约定外，酬金均以人民币支付。涉及外币支付的，所采用的货币种类、比例和汇率在专用条件中约定。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5.2 支付申请</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监理人应在本合同约定的每次应付款时间的7天前，向委托人提交支付申请书。支付申请书应当说明当期应付款总额，并列出当期应支付的款项及其金额。</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 xml:space="preserve"> 5.3 支付酬金</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支付的酬金包括正常工作酬金、附加工作酬金、合理化建议奖励金额及费用。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 xml:space="preserve">  5.4 有争议部分的付款</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ascii="宋体" w:hAnsi="宋体"/>
          <w:b/>
          <w:bCs/>
          <w:color w:val="auto"/>
          <w:szCs w:val="21"/>
          <w:highlight w:val="none"/>
        </w:rPr>
      </w:pPr>
      <w:r>
        <w:rPr>
          <w:rFonts w:hint="eastAsia" w:ascii="宋体" w:hAnsi="宋体"/>
          <w:b/>
          <w:bCs/>
          <w:color w:val="auto"/>
          <w:szCs w:val="21"/>
          <w:highlight w:val="none"/>
        </w:rPr>
        <w:t>6. 合同生效、变更、暂停、解除与终止</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6.1生效</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除法律另有规定或者专用条件另有约定外，委托人和监理人的法定代表人或其授权代理人在协议书上签字并盖单位章后本合同生效。</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6.2变更</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6.2.1 任何一方提出变更请求时，双方经协商一致后可进行变更。</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6.2.5 因非监理人原因造成工程概算投资额或建筑安装工程费增加时，正常工作酬金应作相应调整。调整方法在专用条件中约定。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6.2.6 因工程规模、监理范围的变化导致监理人的正常工作量减少时，正常工作酬金应作相应调整。调整方法在专用条件中约定。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 xml:space="preserve">  6.3 暂停与解除</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解除本合同的协议必须采取书面形式，协议未达成之前，本合同仍然有效。</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6.3.5 因不可抗力致使本合同部分或全部不能履行时，一方应立即通知另一方，可暂停或解除本合同。</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6.3.6 本合同解除后，本合同约定的有关结算、清理、争议解决方式的条件仍然有效。</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6.4 终止</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以下条件全部满足时，本合同即告终止：</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（1）监理人完成本合同约定的全部工作；</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（2）委托人与监理人结清并支付全部酬金。</w:t>
      </w:r>
    </w:p>
    <w:p>
      <w:pPr>
        <w:snapToGrid w:val="0"/>
        <w:spacing w:line="360" w:lineRule="auto"/>
        <w:rPr>
          <w:rFonts w:ascii="宋体" w:hAnsi="宋体"/>
          <w:b/>
          <w:bCs/>
          <w:color w:val="auto"/>
          <w:szCs w:val="21"/>
          <w:highlight w:val="none"/>
        </w:rPr>
      </w:pPr>
      <w:r>
        <w:rPr>
          <w:rFonts w:hint="eastAsia" w:ascii="宋体" w:hAnsi="宋体"/>
          <w:b/>
          <w:bCs/>
          <w:color w:val="auto"/>
          <w:szCs w:val="21"/>
          <w:highlight w:val="none"/>
        </w:rPr>
        <w:t>7. 争议解决</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7.1协商</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双方应本着诚信原则协商解决彼此间的争议。</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7.2调解</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如果双方不能在14天内或双方商定的其他时间内解决本合同争议，可以将其提交给专用条件约定的或事后达成协议的调解人进行调解。</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7.3仲裁或诉讼</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双方均有权不经调解直接向专用条件约定的仲裁机构申请仲裁或向有管辖权的人民法院提起诉讼。</w:t>
      </w:r>
    </w:p>
    <w:p>
      <w:pPr>
        <w:snapToGrid w:val="0"/>
        <w:spacing w:line="360" w:lineRule="auto"/>
        <w:rPr>
          <w:rFonts w:ascii="宋体" w:hAnsi="宋体"/>
          <w:b/>
          <w:bCs/>
          <w:color w:val="auto"/>
          <w:szCs w:val="21"/>
          <w:highlight w:val="none"/>
        </w:rPr>
      </w:pPr>
      <w:r>
        <w:rPr>
          <w:rFonts w:hint="eastAsia" w:ascii="宋体" w:hAnsi="宋体"/>
          <w:b/>
          <w:bCs/>
          <w:color w:val="auto"/>
          <w:szCs w:val="21"/>
          <w:highlight w:val="none"/>
        </w:rPr>
        <w:t>8. 其他</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8.1 外出考察费用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经委托人同意，监理人员外出考察发生的费用由监理单位自行承担。</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8.2 检测费用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委托人要求监理人进行的材料和设备检测所发生的费用，由委托人支付，支付时间在专用条件中约定。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8.3 咨询费用</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经委托人同意，根据工程需要由监理人组织的相关咨询论证会以及聘请相关专家等发生的费用由监理单位承担。</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8.4 奖励</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无。</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8.5 守法诚信</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监理人及其工作人员不得从与实施工程有关的第三方处获得任何经济利益。</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8.6 保密</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双方不得泄露对方申明的保密资料，亦不得泄露与实施工程有关的第三方所提供的保密资料，保密事项在专用条件中约定。</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8.7 通知</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本合同涉及的通知均应当采用书面形式，并在送达对方时生效，收件人应书面签收。</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8.8 著作权</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监理人对其编制的文件拥有著作权。</w:t>
      </w:r>
    </w:p>
    <w:p>
      <w:pPr>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adjustRightInd w:val="0"/>
        <w:snapToGrid w:val="0"/>
        <w:spacing w:line="360" w:lineRule="auto"/>
        <w:ind w:firstLine="420" w:firstLineChars="200"/>
        <w:rPr>
          <w:rFonts w:ascii="宋体" w:hAnsi="宋体"/>
          <w:color w:val="auto"/>
          <w:kern w:val="0"/>
          <w:szCs w:val="21"/>
          <w:highlight w:val="none"/>
        </w:rPr>
      </w:pPr>
    </w:p>
    <w:p>
      <w:pPr>
        <w:pStyle w:val="5"/>
        <w:adjustRightInd w:val="0"/>
        <w:spacing w:before="0" w:after="0" w:line="500" w:lineRule="exact"/>
        <w:jc w:val="center"/>
        <w:rPr>
          <w:rFonts w:ascii="宋体" w:hAnsi="宋体"/>
          <w:color w:val="auto"/>
          <w:sz w:val="22"/>
          <w:szCs w:val="22"/>
          <w:highlight w:val="none"/>
        </w:rPr>
      </w:pPr>
      <w:r>
        <w:rPr>
          <w:rFonts w:ascii="宋体" w:hAnsi="宋体"/>
          <w:color w:val="auto"/>
          <w:sz w:val="30"/>
          <w:szCs w:val="30"/>
          <w:highlight w:val="none"/>
        </w:rPr>
        <w:t>第三部分  专用条件</w:t>
      </w:r>
    </w:p>
    <w:p>
      <w:pPr>
        <w:adjustRightInd w:val="0"/>
        <w:snapToGrid w:val="0"/>
        <w:spacing w:line="360" w:lineRule="auto"/>
        <w:rPr>
          <w:rFonts w:ascii="宋体" w:hAnsi="宋体"/>
          <w:b/>
          <w:color w:val="auto"/>
          <w:szCs w:val="21"/>
          <w:highlight w:val="none"/>
        </w:rPr>
      </w:pPr>
    </w:p>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1. 定义与解释</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1.2  解释</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 本合同文件除使用中文外，还可用</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1.2.2 约定本合同文件的解释顺序为：</w:t>
      </w:r>
      <w:r>
        <w:rPr>
          <w:rFonts w:ascii="宋体" w:hAnsi="宋体"/>
          <w:color w:val="auto"/>
          <w:szCs w:val="21"/>
          <w:highlight w:val="none"/>
        </w:rPr>
        <w:t>在实施过程中双方共同签署的补充与修正文件；本合同协议书；本合同专用条件；本合同标准条件；中标通知书；招标文件及招标答疑；监理投标文件。</w:t>
      </w:r>
    </w:p>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2. 监理人义务</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2.1 监理的范围和</w:t>
      </w:r>
      <w:r>
        <w:rPr>
          <w:rFonts w:hint="eastAsia" w:ascii="宋体" w:hAnsi="宋体"/>
          <w:bCs/>
          <w:color w:val="auto"/>
          <w:szCs w:val="21"/>
          <w:highlight w:val="none"/>
        </w:rPr>
        <w:t>内容</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2.1.1监理范围包括：</w:t>
      </w:r>
      <w:r>
        <w:rPr>
          <w:rFonts w:hint="eastAsia" w:ascii="宋体" w:hAnsi="宋体"/>
          <w:color w:val="auto"/>
          <w:szCs w:val="21"/>
          <w:highlight w:val="none"/>
          <w:u w:val="single"/>
          <w:lang w:eastAsia="zh-CN"/>
        </w:rPr>
        <w:t>金华市婺城区安居工程城中村改造项目（城西西郊三期）</w:t>
      </w:r>
      <w:r>
        <w:rPr>
          <w:rFonts w:hint="eastAsia" w:ascii="宋体" w:hAnsi="宋体"/>
          <w:color w:val="auto"/>
          <w:szCs w:val="21"/>
          <w:highlight w:val="none"/>
          <w:u w:val="single"/>
        </w:rPr>
        <w:t>全过程监理与相关服务。</w:t>
      </w:r>
      <w:r>
        <w:rPr>
          <w:rStyle w:val="46"/>
          <w:rFonts w:hint="default"/>
          <w:color w:val="auto"/>
          <w:highlight w:val="none"/>
          <w:u w:val="single"/>
        </w:rPr>
        <w:t>包括设计深化与优化、全过程代建开发单位的专项设计、施工、保修等各阶段</w:t>
      </w:r>
      <w:r>
        <w:rPr>
          <w:rStyle w:val="46"/>
          <w:rFonts w:hint="eastAsia"/>
          <w:color w:val="auto"/>
          <w:highlight w:val="none"/>
          <w:u w:val="single"/>
          <w:lang w:eastAsia="zh-CN"/>
        </w:rPr>
        <w:t>全专业的</w:t>
      </w:r>
      <w:r>
        <w:rPr>
          <w:rStyle w:val="46"/>
          <w:rFonts w:hint="default"/>
          <w:color w:val="auto"/>
          <w:highlight w:val="none"/>
          <w:u w:val="single"/>
        </w:rPr>
        <w:t>监理工作，监理工作内容包括项目场地范围内全部工程的监理如建筑、安装、装修、景观、绿化、室外附属、暖通、弱电智能化、电梯、人防、小区市政配套工程（自来水、电力、数字电视、网络、二次供水、管道煤气、信报箱、充电桩配电箱等）等本项目全过程代建开发包含的所有内容的全过程监理。监理范围还包括：对代建开发单位的的专项设计、装饰设计、各项</w:t>
      </w:r>
      <w:r>
        <w:rPr>
          <w:rStyle w:val="46"/>
          <w:rFonts w:hint="eastAsia"/>
          <w:color w:val="auto"/>
          <w:highlight w:val="none"/>
          <w:u w:val="single"/>
          <w:lang w:eastAsia="zh-CN"/>
        </w:rPr>
        <w:t>深化设计及</w:t>
      </w:r>
      <w:r>
        <w:rPr>
          <w:rStyle w:val="46"/>
          <w:rFonts w:hint="default"/>
          <w:color w:val="auto"/>
          <w:highlight w:val="none"/>
          <w:u w:val="single"/>
        </w:rPr>
        <w:t>设计变更</w:t>
      </w:r>
      <w:r>
        <w:rPr>
          <w:rStyle w:val="46"/>
          <w:rFonts w:hint="eastAsia"/>
          <w:color w:val="auto"/>
          <w:highlight w:val="none"/>
          <w:u w:val="single"/>
          <w:lang w:eastAsia="zh-CN"/>
        </w:rPr>
        <w:t>的监理</w:t>
      </w:r>
      <w:r>
        <w:rPr>
          <w:rStyle w:val="46"/>
          <w:rFonts w:hint="default"/>
          <w:color w:val="auto"/>
          <w:highlight w:val="none"/>
          <w:u w:val="single"/>
        </w:rPr>
        <w:t>等；参与材料、设备的采购并审核是否达到预算标准和约定的建设标准及其他</w:t>
      </w:r>
      <w:r>
        <w:rPr>
          <w:rFonts w:hint="eastAsia" w:ascii="宋体" w:hAnsi="宋体"/>
          <w:color w:val="auto"/>
          <w:szCs w:val="21"/>
          <w:highlight w:val="none"/>
          <w:u w:val="single"/>
        </w:rPr>
        <w:t>相关监理服务</w:t>
      </w:r>
      <w:r>
        <w:rPr>
          <w:rStyle w:val="46"/>
          <w:rFonts w:hint="default"/>
          <w:color w:val="auto"/>
          <w:highlight w:val="none"/>
          <w:u w:val="single"/>
        </w:rPr>
        <w:t>内容。</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2.1.2监理工作内容还包括：（包括但不限于以下）</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（1）协助委托人</w:t>
      </w:r>
      <w:r>
        <w:rPr>
          <w:rFonts w:hint="eastAsia" w:ascii="宋体" w:hAnsi="宋体"/>
          <w:color w:val="auto"/>
          <w:szCs w:val="21"/>
          <w:highlight w:val="none"/>
          <w:u w:val="single"/>
          <w:lang w:eastAsia="zh-CN"/>
        </w:rPr>
        <w:t>及造价咨询单位</w:t>
      </w:r>
      <w:r>
        <w:rPr>
          <w:rFonts w:hint="eastAsia" w:ascii="宋体" w:hAnsi="宋体"/>
          <w:color w:val="auto"/>
          <w:szCs w:val="21"/>
          <w:highlight w:val="none"/>
          <w:u w:val="single"/>
        </w:rPr>
        <w:t>审核施工图的设计和概(预)算，参与主持组织图纸会审，做好记录，写出会审纪要。协助委托人进行项目招标工作，参与组织项目招投标工作，协助委托人做好工程前期的有关工作。</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（2）参与项目施工承包合同签订，审核施工进度计划，并在实施过程中检查、督促施工方严格按合同和施工规范、工程技术标准、设计要求进行施工，监督施工方现场施工管理。</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（3）协助委托人做好开工前准备，在施工方进场后开工前对施工场地的地形、地貌、标高进行核查，对周边房屋、道路、管线等安全鉴定情况进行确认，审批开工报告，复核灰线，经委托人同意下达开工令。</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（4）审批施工组织设计、专项技术方案及专项安全防护措施方案，审查和检查施工技术措施、质量保证体系及安全防护措施，提出合理的整改意见和建议并督促执行。</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（5）审查施工方采购清单，检查工程使用材料、构件、设备的</w:t>
      </w:r>
      <w:r>
        <w:rPr>
          <w:rFonts w:hint="eastAsia" w:ascii="宋体" w:hAnsi="宋体"/>
          <w:color w:val="auto"/>
          <w:szCs w:val="21"/>
          <w:highlight w:val="none"/>
          <w:u w:val="single"/>
          <w:lang w:eastAsia="zh-CN"/>
        </w:rPr>
        <w:t>品牌、厂家、</w:t>
      </w:r>
      <w:r>
        <w:rPr>
          <w:rFonts w:hint="eastAsia" w:ascii="宋体" w:hAnsi="宋体"/>
          <w:color w:val="auto"/>
          <w:szCs w:val="21"/>
          <w:highlight w:val="none"/>
          <w:u w:val="single"/>
        </w:rPr>
        <w:t>规格</w:t>
      </w:r>
      <w:r>
        <w:rPr>
          <w:rFonts w:hint="eastAsia" w:ascii="宋体" w:hAnsi="宋体"/>
          <w:color w:val="auto"/>
          <w:szCs w:val="21"/>
          <w:highlight w:val="none"/>
          <w:u w:val="single"/>
          <w:lang w:eastAsia="zh-CN"/>
        </w:rPr>
        <w:t>型号</w:t>
      </w:r>
      <w:r>
        <w:rPr>
          <w:rFonts w:hint="eastAsia" w:ascii="宋体" w:hAnsi="宋体"/>
          <w:color w:val="auto"/>
          <w:szCs w:val="21"/>
          <w:highlight w:val="none"/>
          <w:u w:val="single"/>
        </w:rPr>
        <w:t>、质量与数量。督促承包商编制材料的供需计划，协助委托人安排甲供材料的供应计划。</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（6）对施工变更的量、价签证，主持施工图交底，参与设计变更的签证，复核施工变更。</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（7）主持召开工程协调会议及综合管线协调会议，主持召开工程协调会议并做好会议纪要，调解有关工程建设各种合同争议，处理索赔事项。</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（8）检查安全防护措施和文明施工，检查督促工程进度、施工质量。做好材料设备验收，隐蔽工程验收，做好各分部工程的验收。</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（9）督促承包商及时整理技术资料及竣工验收资料，至档案馆接受止。</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（10）协助委托人对项目投资进行控制，至竣工决算、审计完成止对承包商提出的付款申请进行审核。</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（11）</w:t>
      </w:r>
      <w:r>
        <w:rPr>
          <w:rFonts w:hint="eastAsia" w:ascii="宋体" w:hAnsi="宋体"/>
          <w:color w:val="auto"/>
          <w:szCs w:val="21"/>
          <w:highlight w:val="none"/>
          <w:u w:val="single"/>
          <w:lang w:eastAsia="zh-CN"/>
        </w:rPr>
        <w:t>参与解决</w:t>
      </w:r>
      <w:r>
        <w:rPr>
          <w:rFonts w:hint="eastAsia" w:ascii="宋体" w:hAnsi="宋体"/>
          <w:color w:val="auto"/>
          <w:szCs w:val="21"/>
          <w:highlight w:val="none"/>
          <w:u w:val="single"/>
        </w:rPr>
        <w:t>工程结算</w:t>
      </w:r>
      <w:r>
        <w:rPr>
          <w:rFonts w:hint="eastAsia" w:ascii="宋体" w:hAnsi="宋体"/>
          <w:color w:val="auto"/>
          <w:szCs w:val="21"/>
          <w:highlight w:val="none"/>
          <w:u w:val="single"/>
          <w:lang w:eastAsia="zh-CN"/>
        </w:rPr>
        <w:t>审核单位提出的有关问题</w:t>
      </w:r>
      <w:r>
        <w:rPr>
          <w:rFonts w:hint="eastAsia" w:ascii="宋体" w:hAnsi="宋体"/>
          <w:color w:val="auto"/>
          <w:szCs w:val="21"/>
          <w:highlight w:val="none"/>
          <w:u w:val="single"/>
        </w:rPr>
        <w:t>，协助</w:t>
      </w:r>
      <w:r>
        <w:rPr>
          <w:rFonts w:hint="eastAsia" w:ascii="宋体" w:hAnsi="宋体"/>
          <w:color w:val="auto"/>
          <w:szCs w:val="21"/>
          <w:highlight w:val="none"/>
          <w:u w:val="single"/>
          <w:lang w:eastAsia="zh-CN"/>
        </w:rPr>
        <w:t>委托人或第三方咨询单位完成</w:t>
      </w:r>
      <w:r>
        <w:rPr>
          <w:rFonts w:hint="eastAsia" w:ascii="宋体" w:hAnsi="宋体"/>
          <w:color w:val="auto"/>
          <w:szCs w:val="21"/>
          <w:highlight w:val="none"/>
          <w:u w:val="single"/>
        </w:rPr>
        <w:t>工程</w:t>
      </w:r>
      <w:r>
        <w:rPr>
          <w:rFonts w:hint="eastAsia" w:ascii="宋体" w:hAnsi="宋体"/>
          <w:color w:val="auto"/>
          <w:szCs w:val="21"/>
          <w:highlight w:val="none"/>
          <w:u w:val="single"/>
          <w:lang w:eastAsia="zh-CN"/>
        </w:rPr>
        <w:t>结算审核工作</w:t>
      </w:r>
      <w:r>
        <w:rPr>
          <w:rFonts w:hint="eastAsia" w:ascii="宋体" w:hAnsi="宋体"/>
          <w:color w:val="auto"/>
          <w:szCs w:val="21"/>
          <w:highlight w:val="none"/>
          <w:u w:val="single"/>
        </w:rPr>
        <w:t>。</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（12）及时提供完整的监理资料，定期编制监理月报。</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（13）履行其他法律、法规规定的监理职责义务，提供其他可免费提供的监理服务。</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（14）协助委托人组织进行交工验收及竣工验收。</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（15）按委托人提出的质量、安全、文明施工的要求，督促承包商执行、落实相关要求。</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（16）完成监理规范要求的其他工作内容。</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（17）严格按委托人要求做好实测实量及精细化工作等。</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（18）信息管理：及时做好现场监理记录与信息反馈，参与编制项目总结报告。及时配合委托人进行信息化管理工作。</w:t>
      </w:r>
    </w:p>
    <w:p>
      <w:pPr>
        <w:adjustRightInd w:val="0"/>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（19）工程竣工验收后 30 天内，提供给委托人完整的、并装订成册的监理资料四份，包括监理合同、监理规划、监理细则，建立项目监理机构文件和会议纪要（含监理工程师发布的各项指令及联系单）、监理日记、监理月报、监理工作总结、质量评估报告以及由监理抽检或监理主持验收的各类原材料、成品及半成品、隐蔽工程和其它重要的质量部位的资料，不需要提供竣工图及承包商提供或检查的有关工程竣工技术资料。</w:t>
      </w:r>
    </w:p>
    <w:p>
      <w:pPr>
        <w:adjustRightInd w:val="0"/>
        <w:snapToGrid w:val="0"/>
        <w:spacing w:line="360" w:lineRule="auto"/>
        <w:ind w:firstLine="420" w:firstLineChars="200"/>
        <w:rPr>
          <w:rFonts w:hint="eastAsia" w:ascii="宋体" w:hAnsi="宋体"/>
          <w:color w:val="auto"/>
          <w:szCs w:val="21"/>
          <w:highlight w:val="none"/>
          <w:u w:val="single"/>
          <w:lang w:val="en-US" w:eastAsia="zh-CN"/>
        </w:rPr>
      </w:pPr>
      <w:r>
        <w:rPr>
          <w:rFonts w:hint="eastAsia" w:ascii="宋体" w:hAnsi="宋体"/>
          <w:color w:val="auto"/>
          <w:szCs w:val="21"/>
          <w:highlight w:val="none"/>
          <w:u w:val="single"/>
          <w:lang w:val="en-US" w:eastAsia="zh-CN"/>
        </w:rPr>
        <w:t>（20）参与项目2年</w:t>
      </w:r>
      <w:r>
        <w:rPr>
          <w:rFonts w:hint="eastAsia" w:ascii="宋体" w:hAnsi="宋体"/>
          <w:color w:val="auto"/>
          <w:szCs w:val="21"/>
          <w:highlight w:val="none"/>
          <w:u w:val="single"/>
        </w:rPr>
        <w:t>质量缺陷期</w:t>
      </w:r>
      <w:r>
        <w:rPr>
          <w:rFonts w:hint="eastAsia" w:ascii="宋体" w:hAnsi="宋体"/>
          <w:color w:val="auto"/>
          <w:szCs w:val="21"/>
          <w:highlight w:val="none"/>
          <w:u w:val="single"/>
          <w:lang w:eastAsia="zh-CN"/>
        </w:rPr>
        <w:t>间</w:t>
      </w:r>
      <w:r>
        <w:rPr>
          <w:rFonts w:hint="eastAsia" w:ascii="宋体" w:hAnsi="宋体"/>
          <w:color w:val="auto"/>
          <w:szCs w:val="21"/>
          <w:highlight w:val="none"/>
          <w:u w:val="single"/>
        </w:rPr>
        <w:t>的各项监理服务</w:t>
      </w:r>
      <w:r>
        <w:rPr>
          <w:rFonts w:hint="eastAsia" w:ascii="宋体" w:hAnsi="宋体"/>
          <w:color w:val="auto"/>
          <w:szCs w:val="21"/>
          <w:highlight w:val="none"/>
          <w:lang w:eastAsia="zh-CN"/>
        </w:rPr>
        <w:t>。</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）未尽事宜按监理的有关法律法规执行。</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2.2 监理与相关服务依据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 监理及相关服务依据包括：</w:t>
      </w:r>
      <w:r>
        <w:rPr>
          <w:rFonts w:hint="eastAsia" w:ascii="宋体" w:hAnsi="宋体"/>
          <w:color w:val="auto"/>
          <w:szCs w:val="21"/>
          <w:highlight w:val="none"/>
          <w:u w:val="single"/>
        </w:rPr>
        <w:t>国家、省、市现行相关法律、法规、文件及委托提供的本项目相关资料</w:t>
      </w:r>
      <w:r>
        <w:rPr>
          <w:rFonts w:hint="eastAsia" w:ascii="宋体" w:hAnsi="宋体"/>
          <w:color w:val="auto"/>
          <w:szCs w:val="21"/>
          <w:highlight w:val="none"/>
        </w:rPr>
        <w:t>，包括但不限于以下：</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（1）</w:t>
      </w:r>
      <w:r>
        <w:rPr>
          <w:rFonts w:ascii="宋体" w:hAnsi="宋体"/>
          <w:color w:val="auto"/>
          <w:szCs w:val="21"/>
          <w:highlight w:val="none"/>
          <w:u w:val="single"/>
        </w:rPr>
        <w:t>适用法规：国家颁布的有关法律、行政法规，建设部(或专业部门)部门规章及工程所在地的地方性(省、市、县)法规、规章；</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（2）</w:t>
      </w:r>
      <w:r>
        <w:rPr>
          <w:rFonts w:ascii="宋体" w:hAnsi="宋体"/>
          <w:color w:val="auto"/>
          <w:szCs w:val="21"/>
          <w:highlight w:val="none"/>
          <w:u w:val="single"/>
        </w:rPr>
        <w:t>经上级有关部门及建设行政主管部门批准的项目可行性研究报告</w:t>
      </w:r>
      <w:r>
        <w:rPr>
          <w:rFonts w:hint="eastAsia" w:ascii="宋体" w:hAnsi="宋体"/>
          <w:color w:val="auto"/>
          <w:szCs w:val="21"/>
          <w:highlight w:val="none"/>
          <w:u w:val="single"/>
        </w:rPr>
        <w:t>（或备案信息表）</w:t>
      </w:r>
      <w:r>
        <w:rPr>
          <w:rFonts w:ascii="宋体" w:hAnsi="宋体"/>
          <w:color w:val="auto"/>
          <w:szCs w:val="21"/>
          <w:highlight w:val="none"/>
          <w:u w:val="single"/>
        </w:rPr>
        <w:t>、初步设计及批复、概预算书、建设计划、设计施工图纸和地质勘察报告等有关技术经济文件；</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（3）</w:t>
      </w:r>
      <w:r>
        <w:rPr>
          <w:rFonts w:ascii="宋体" w:hAnsi="宋体"/>
          <w:color w:val="auto"/>
          <w:szCs w:val="21"/>
          <w:highlight w:val="none"/>
          <w:u w:val="single"/>
        </w:rPr>
        <w:t>国家和地方现行的工程设计、建筑安装技术标准及验收规范、工程质量检验评定标准；</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（4）</w:t>
      </w:r>
      <w:r>
        <w:rPr>
          <w:rFonts w:ascii="宋体" w:hAnsi="宋体"/>
          <w:color w:val="auto"/>
          <w:szCs w:val="21"/>
          <w:highlight w:val="none"/>
          <w:u w:val="single"/>
        </w:rPr>
        <w:t>工程招投标文件及有关答疑、补充资料；</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（5）</w:t>
      </w:r>
      <w:r>
        <w:rPr>
          <w:rFonts w:ascii="宋体" w:hAnsi="宋体"/>
          <w:color w:val="auto"/>
          <w:szCs w:val="21"/>
          <w:highlight w:val="none"/>
          <w:u w:val="single"/>
        </w:rPr>
        <w:t>现行的概预算定额、单位估价表、取费标准及有关建设工程造价的管理办法；</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（6）</w:t>
      </w:r>
      <w:r>
        <w:rPr>
          <w:rFonts w:ascii="宋体" w:hAnsi="宋体"/>
          <w:color w:val="auto"/>
          <w:szCs w:val="21"/>
          <w:highlight w:val="none"/>
          <w:u w:val="single"/>
        </w:rPr>
        <w:t>依法成立的</w:t>
      </w:r>
      <w:r>
        <w:rPr>
          <w:rFonts w:hint="eastAsia" w:ascii="宋体" w:hAnsi="宋体"/>
          <w:color w:val="auto"/>
          <w:szCs w:val="21"/>
          <w:highlight w:val="none"/>
          <w:u w:val="single"/>
        </w:rPr>
        <w:t>全过程代建开发合同（或协议）；</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（7）</w:t>
      </w:r>
      <w:r>
        <w:rPr>
          <w:rFonts w:ascii="宋体" w:hAnsi="宋体"/>
          <w:color w:val="auto"/>
          <w:szCs w:val="21"/>
          <w:highlight w:val="none"/>
          <w:u w:val="single"/>
        </w:rPr>
        <w:t>依法成立的工程承包合同(施工合同)和协议；</w:t>
      </w:r>
    </w:p>
    <w:p>
      <w:pPr>
        <w:adjustRightInd w:val="0"/>
        <w:snapToGrid w:val="0"/>
        <w:spacing w:line="360" w:lineRule="auto"/>
        <w:ind w:firstLine="435"/>
        <w:rPr>
          <w:rFonts w:ascii="宋体" w:hAnsi="宋体"/>
          <w:color w:val="auto"/>
          <w:szCs w:val="21"/>
          <w:highlight w:val="none"/>
          <w:u w:val="single"/>
        </w:rPr>
      </w:pPr>
      <w:r>
        <w:rPr>
          <w:rFonts w:hint="eastAsia" w:ascii="宋体" w:hAnsi="宋体"/>
          <w:color w:val="auto"/>
          <w:szCs w:val="21"/>
          <w:highlight w:val="none"/>
        </w:rPr>
        <w:t>（8）</w:t>
      </w:r>
      <w:r>
        <w:rPr>
          <w:rFonts w:ascii="宋体" w:hAnsi="宋体"/>
          <w:color w:val="auto"/>
          <w:szCs w:val="21"/>
          <w:highlight w:val="none"/>
          <w:u w:val="single"/>
        </w:rPr>
        <w:t>依法成立的工程建设监理合同(或协议)</w:t>
      </w:r>
      <w:r>
        <w:rPr>
          <w:rFonts w:hint="eastAsia" w:ascii="宋体" w:hAnsi="宋体"/>
          <w:color w:val="auto"/>
          <w:szCs w:val="21"/>
          <w:highlight w:val="none"/>
          <w:u w:val="single"/>
        </w:rPr>
        <w:t>；</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（9）</w:t>
      </w:r>
      <w:r>
        <w:rPr>
          <w:rFonts w:hint="eastAsia" w:ascii="宋体" w:hAnsi="宋体"/>
          <w:color w:val="auto"/>
          <w:szCs w:val="21"/>
          <w:highlight w:val="none"/>
          <w:u w:val="single"/>
        </w:rPr>
        <w:t>监理人服从委托人的其他管理规定。</w:t>
      </w:r>
    </w:p>
    <w:p>
      <w:pPr>
        <w:adjustRightInd w:val="0"/>
        <w:snapToGrid w:val="0"/>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2.3</w:t>
      </w:r>
      <w:r>
        <w:rPr>
          <w:rFonts w:hint="eastAsia" w:ascii="宋体" w:hAnsi="宋体" w:cs="宋体"/>
          <w:color w:val="auto"/>
          <w:kern w:val="0"/>
          <w:szCs w:val="21"/>
          <w:highlight w:val="none"/>
        </w:rPr>
        <w:t>项目监理机构和人员</w:t>
      </w:r>
    </w:p>
    <w:p>
      <w:pPr>
        <w:adjustRightInd w:val="0"/>
        <w:snapToGrid w:val="0"/>
        <w:spacing w:line="360" w:lineRule="auto"/>
        <w:ind w:firstLine="420" w:firstLineChars="200"/>
        <w:rPr>
          <w:rFonts w:ascii="宋体" w:hAnsi="宋体"/>
          <w:color w:val="auto"/>
          <w:kern w:val="0"/>
          <w:szCs w:val="21"/>
          <w:highlight w:val="none"/>
          <w:u w:val="single"/>
        </w:rPr>
      </w:pPr>
      <w:r>
        <w:rPr>
          <w:rFonts w:hint="eastAsia" w:ascii="宋体" w:hAnsi="宋体"/>
          <w:color w:val="auto"/>
          <w:szCs w:val="21"/>
          <w:highlight w:val="none"/>
        </w:rPr>
        <w:t xml:space="preserve">2.3.4 </w:t>
      </w:r>
      <w:r>
        <w:rPr>
          <w:rFonts w:hint="eastAsia" w:ascii="宋体" w:hAnsi="宋体"/>
          <w:color w:val="auto"/>
          <w:kern w:val="0"/>
          <w:szCs w:val="21"/>
          <w:highlight w:val="none"/>
        </w:rPr>
        <w:t>更换监理人员的其他情形：</w:t>
      </w:r>
      <w:r>
        <w:rPr>
          <w:rFonts w:hint="eastAsia" w:ascii="宋体" w:hAnsi="宋体" w:cs="宋体"/>
          <w:color w:val="auto"/>
          <w:szCs w:val="21"/>
          <w:highlight w:val="none"/>
          <w:u w:val="single"/>
        </w:rPr>
        <w:t>本项目原则上</w:t>
      </w:r>
      <w:r>
        <w:rPr>
          <w:rFonts w:ascii="宋体" w:hAnsi="宋体" w:cs="宋体"/>
          <w:color w:val="auto"/>
          <w:szCs w:val="21"/>
          <w:highlight w:val="none"/>
          <w:u w:val="single"/>
        </w:rPr>
        <w:t>不</w:t>
      </w:r>
      <w:r>
        <w:rPr>
          <w:rFonts w:hint="eastAsia" w:ascii="宋体" w:hAnsi="宋体" w:cs="宋体"/>
          <w:color w:val="auto"/>
          <w:szCs w:val="21"/>
          <w:highlight w:val="none"/>
          <w:u w:val="single"/>
          <w:lang w:eastAsia="zh-CN"/>
        </w:rPr>
        <w:t>允许</w:t>
      </w:r>
      <w:r>
        <w:rPr>
          <w:rFonts w:ascii="宋体" w:hAnsi="宋体" w:cs="宋体"/>
          <w:color w:val="auto"/>
          <w:szCs w:val="21"/>
          <w:highlight w:val="none"/>
          <w:u w:val="single"/>
        </w:rPr>
        <w:t>更换</w:t>
      </w:r>
      <w:r>
        <w:rPr>
          <w:rFonts w:hint="eastAsia" w:ascii="宋体" w:hAnsi="宋体" w:cs="宋体"/>
          <w:color w:val="auto"/>
          <w:szCs w:val="21"/>
          <w:highlight w:val="none"/>
          <w:u w:val="single"/>
        </w:rPr>
        <w:t>项目总监</w:t>
      </w:r>
      <w:r>
        <w:rPr>
          <w:rFonts w:hint="eastAsia" w:ascii="宋体" w:hAnsi="宋体"/>
          <w:color w:val="auto"/>
          <w:kern w:val="0"/>
          <w:szCs w:val="21"/>
          <w:highlight w:val="none"/>
          <w:u w:val="single"/>
        </w:rPr>
        <w:t>，若因特殊原因</w:t>
      </w:r>
      <w:r>
        <w:rPr>
          <w:rFonts w:hint="eastAsia" w:ascii="宋体" w:hAnsi="宋体"/>
          <w:color w:val="auto"/>
          <w:kern w:val="0"/>
          <w:szCs w:val="21"/>
          <w:highlight w:val="none"/>
          <w:u w:val="single"/>
          <w:lang w:eastAsia="zh-CN"/>
        </w:rPr>
        <w:t>确</w:t>
      </w:r>
      <w:r>
        <w:rPr>
          <w:rFonts w:hint="eastAsia" w:ascii="宋体" w:hAnsi="宋体"/>
          <w:color w:val="auto"/>
          <w:kern w:val="0"/>
          <w:szCs w:val="21"/>
          <w:highlight w:val="none"/>
          <w:u w:val="single"/>
        </w:rPr>
        <w:t>需更换，经甲方和行业监管部门书面同意并备案后方可更换，但更换仅限壹次；更换后的项目总监资格、信用条件不得低于原项目总监中标时的资格、信用条件。</w:t>
      </w:r>
      <w:r>
        <w:rPr>
          <w:rFonts w:hint="eastAsia" w:ascii="宋体" w:hAnsi="宋体" w:cs="宋体"/>
          <w:color w:val="auto"/>
          <w:szCs w:val="21"/>
          <w:highlight w:val="none"/>
          <w:u w:val="single"/>
        </w:rPr>
        <w:t>项目总监有经调查核实确患重大疾病或死亡</w:t>
      </w:r>
      <w:r>
        <w:rPr>
          <w:rFonts w:hint="eastAsia" w:ascii="宋体" w:hAnsi="宋体" w:cs="宋体"/>
          <w:color w:val="auto"/>
          <w:szCs w:val="21"/>
          <w:highlight w:val="none"/>
          <w:u w:val="single"/>
          <w:lang w:eastAsia="zh-CN"/>
        </w:rPr>
        <w:t>等</w:t>
      </w:r>
      <w:r>
        <w:rPr>
          <w:rFonts w:hint="eastAsia" w:ascii="宋体" w:hAnsi="宋体" w:cs="宋体"/>
          <w:color w:val="auto"/>
          <w:szCs w:val="21"/>
          <w:highlight w:val="none"/>
          <w:u w:val="single"/>
        </w:rPr>
        <w:t>无法胜任工作的</w:t>
      </w:r>
      <w:r>
        <w:rPr>
          <w:rFonts w:hint="eastAsia" w:ascii="宋体" w:hAnsi="宋体" w:cs="宋体"/>
          <w:color w:val="auto"/>
          <w:szCs w:val="21"/>
          <w:highlight w:val="none"/>
          <w:u w:val="single"/>
          <w:lang w:eastAsia="zh-CN"/>
        </w:rPr>
        <w:t>允许更换</w:t>
      </w:r>
      <w:r>
        <w:rPr>
          <w:rFonts w:hint="eastAsia" w:ascii="宋体" w:hAnsi="宋体" w:cs="宋体"/>
          <w:color w:val="auto"/>
          <w:szCs w:val="21"/>
          <w:highlight w:val="none"/>
          <w:u w:val="single"/>
        </w:rPr>
        <w:t>，</w:t>
      </w:r>
      <w:r>
        <w:rPr>
          <w:rFonts w:hint="eastAsia" w:ascii="宋体" w:hAnsi="宋体"/>
          <w:color w:val="auto"/>
          <w:kern w:val="0"/>
          <w:szCs w:val="21"/>
          <w:highlight w:val="none"/>
          <w:u w:val="single"/>
        </w:rPr>
        <w:t>未经甲方同意擅自变更项目总监的，支付违约金10万元。</w:t>
      </w:r>
    </w:p>
    <w:p>
      <w:pPr>
        <w:adjustRightInd w:val="0"/>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如项目总监不称职</w:t>
      </w:r>
      <w:r>
        <w:rPr>
          <w:rFonts w:ascii="宋体" w:hAnsi="宋体" w:cs="宋体"/>
          <w:color w:val="auto"/>
          <w:szCs w:val="21"/>
          <w:highlight w:val="none"/>
          <w:u w:val="single"/>
        </w:rPr>
        <w:t>无法履行职责</w:t>
      </w:r>
      <w:r>
        <w:rPr>
          <w:rFonts w:hint="eastAsia" w:ascii="宋体" w:hAnsi="宋体" w:cs="宋体"/>
          <w:color w:val="auto"/>
          <w:szCs w:val="21"/>
          <w:highlight w:val="none"/>
          <w:u w:val="single"/>
        </w:rPr>
        <w:t>的，甲方有权提出更换，乙方应无条件服从，</w:t>
      </w:r>
      <w:r>
        <w:rPr>
          <w:rFonts w:ascii="宋体" w:hAnsi="宋体" w:cs="宋体"/>
          <w:color w:val="auto"/>
          <w:szCs w:val="21"/>
          <w:highlight w:val="none"/>
          <w:u w:val="single"/>
        </w:rPr>
        <w:t>如</w:t>
      </w:r>
      <w:r>
        <w:rPr>
          <w:rFonts w:hint="eastAsia" w:ascii="宋体" w:hAnsi="宋体" w:cs="宋体"/>
          <w:color w:val="auto"/>
          <w:szCs w:val="21"/>
          <w:highlight w:val="none"/>
          <w:u w:val="single"/>
        </w:rPr>
        <w:t>乙方</w:t>
      </w:r>
      <w:r>
        <w:rPr>
          <w:rFonts w:ascii="宋体" w:hAnsi="宋体" w:cs="宋体"/>
          <w:color w:val="auto"/>
          <w:szCs w:val="21"/>
          <w:highlight w:val="none"/>
          <w:u w:val="single"/>
        </w:rPr>
        <w:t>未</w:t>
      </w:r>
      <w:r>
        <w:rPr>
          <w:rFonts w:hint="eastAsia" w:ascii="宋体" w:hAnsi="宋体" w:cs="宋体"/>
          <w:color w:val="auto"/>
          <w:szCs w:val="21"/>
          <w:highlight w:val="none"/>
          <w:u w:val="single"/>
        </w:rPr>
        <w:t>按要求</w:t>
      </w:r>
      <w:r>
        <w:rPr>
          <w:rFonts w:ascii="宋体" w:hAnsi="宋体" w:cs="宋体"/>
          <w:color w:val="auto"/>
          <w:szCs w:val="21"/>
          <w:highlight w:val="none"/>
          <w:u w:val="single"/>
        </w:rPr>
        <w:t>更换，</w:t>
      </w:r>
      <w:r>
        <w:rPr>
          <w:rFonts w:hint="eastAsia" w:ascii="宋体" w:hAnsi="宋体" w:cs="宋体"/>
          <w:color w:val="auto"/>
          <w:szCs w:val="21"/>
          <w:highlight w:val="none"/>
          <w:u w:val="single"/>
        </w:rPr>
        <w:t>向甲方支付违约金10万元/人。项目总监连续缺勤1个月</w:t>
      </w:r>
      <w:r>
        <w:rPr>
          <w:rFonts w:hint="eastAsia" w:ascii="宋体" w:hAnsi="宋体" w:cs="宋体"/>
          <w:color w:val="auto"/>
          <w:szCs w:val="21"/>
          <w:highlight w:val="none"/>
          <w:u w:val="single"/>
          <w:lang w:eastAsia="zh-CN"/>
        </w:rPr>
        <w:t>或者累计三个月出勤不能达到合同要求的</w:t>
      </w:r>
      <w:r>
        <w:rPr>
          <w:rFonts w:hint="eastAsia" w:ascii="宋体" w:hAnsi="宋体" w:cs="宋体"/>
          <w:color w:val="auto"/>
          <w:szCs w:val="21"/>
          <w:highlight w:val="none"/>
          <w:u w:val="single"/>
        </w:rPr>
        <w:t>，甲方有权要求更换人员，并处以违约金10万元。</w:t>
      </w:r>
    </w:p>
    <w:p>
      <w:pPr>
        <w:adjustRightInd w:val="0"/>
        <w:snapToGrid w:val="0"/>
        <w:spacing w:line="360" w:lineRule="auto"/>
        <w:ind w:firstLine="420" w:firstLineChars="200"/>
        <w:rPr>
          <w:rFonts w:ascii="宋体" w:hAnsi="宋体"/>
          <w:color w:val="auto"/>
          <w:szCs w:val="21"/>
          <w:highlight w:val="none"/>
        </w:rPr>
      </w:pPr>
      <w:r>
        <w:rPr>
          <w:rFonts w:hint="eastAsia" w:hAnsi="宋体" w:cs="宋体"/>
          <w:color w:val="auto"/>
          <w:highlight w:val="none"/>
          <w:u w:val="single"/>
        </w:rPr>
        <w:t>乙方擅自更换其他监理人员的违约责任：更换人员须征得甲方书面同意</w:t>
      </w:r>
      <w:r>
        <w:rPr>
          <w:rFonts w:hint="eastAsia" w:hAnsi="宋体" w:cs="宋体"/>
          <w:color w:val="auto"/>
          <w:highlight w:val="none"/>
          <w:u w:val="single"/>
          <w:lang w:eastAsia="zh-CN"/>
        </w:rPr>
        <w:t>，</w:t>
      </w:r>
      <w:r>
        <w:rPr>
          <w:rFonts w:hint="eastAsia" w:hAnsi="宋体" w:cs="宋体"/>
          <w:color w:val="auto"/>
          <w:highlight w:val="none"/>
          <w:u w:val="single"/>
        </w:rPr>
        <w:t>除有经调查核实确患重大疾病或死亡无法胜任工作的人员免除处罚外,其它任何原因不得更换，如有擅自更换的乙方应承担违约责任，向甲方支付违约金1万元/人；如相关人员不称职，甲方有权提出更换，乙方应无条件服从，</w:t>
      </w:r>
      <w:r>
        <w:rPr>
          <w:rFonts w:hAnsi="宋体" w:cs="宋体"/>
          <w:color w:val="auto"/>
          <w:highlight w:val="none"/>
          <w:u w:val="single"/>
        </w:rPr>
        <w:t>如</w:t>
      </w:r>
      <w:r>
        <w:rPr>
          <w:rFonts w:hint="eastAsia" w:hAnsi="宋体" w:cs="宋体"/>
          <w:color w:val="auto"/>
          <w:highlight w:val="none"/>
          <w:u w:val="single"/>
        </w:rPr>
        <w:t>乙方</w:t>
      </w:r>
      <w:r>
        <w:rPr>
          <w:rFonts w:hAnsi="宋体" w:cs="宋体"/>
          <w:color w:val="auto"/>
          <w:highlight w:val="none"/>
          <w:u w:val="single"/>
        </w:rPr>
        <w:t>未</w:t>
      </w:r>
      <w:r>
        <w:rPr>
          <w:rFonts w:hint="eastAsia" w:hAnsi="宋体" w:cs="宋体"/>
          <w:color w:val="auto"/>
          <w:highlight w:val="none"/>
          <w:u w:val="single"/>
        </w:rPr>
        <w:t>按要求</w:t>
      </w:r>
      <w:r>
        <w:rPr>
          <w:rFonts w:hAnsi="宋体" w:cs="宋体"/>
          <w:color w:val="auto"/>
          <w:highlight w:val="none"/>
          <w:u w:val="single"/>
        </w:rPr>
        <w:t>更换，</w:t>
      </w:r>
      <w:r>
        <w:rPr>
          <w:rFonts w:hint="eastAsia" w:hAnsi="宋体" w:cs="宋体"/>
          <w:color w:val="auto"/>
          <w:highlight w:val="none"/>
          <w:u w:val="single"/>
        </w:rPr>
        <w:t>向甲方支付违约金1万元/人。</w:t>
      </w:r>
    </w:p>
    <w:p>
      <w:pPr>
        <w:adjustRightInd w:val="0"/>
        <w:snapToGrid w:val="0"/>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2.4 </w:t>
      </w:r>
      <w:r>
        <w:rPr>
          <w:rFonts w:hint="eastAsia" w:ascii="宋体" w:hAnsi="宋体" w:cs="宋体"/>
          <w:color w:val="auto"/>
          <w:kern w:val="0"/>
          <w:szCs w:val="21"/>
          <w:highlight w:val="none"/>
        </w:rPr>
        <w:t>履行职责</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 对监理人的授权范围：</w:t>
      </w:r>
      <w:r>
        <w:rPr>
          <w:rFonts w:hint="eastAsia" w:ascii="宋体" w:hAnsi="宋体"/>
          <w:color w:val="auto"/>
          <w:szCs w:val="21"/>
          <w:highlight w:val="none"/>
          <w:u w:val="single"/>
        </w:rPr>
        <w:t xml:space="preserve">  关于监理人的监理权限：对施工图纸范围内的施工全过程的工程质量、安全生产、工期进度、文明施工、成本控制、施工信息、工程合同等方面进行全面管理，各节点完成工程量核实及支付工程进度款的核实 </w:t>
      </w:r>
      <w:r>
        <w:rPr>
          <w:rFonts w:hint="eastAsia" w:ascii="宋体" w:hAnsi="宋体"/>
          <w:color w:val="auto"/>
          <w:szCs w:val="21"/>
          <w:highlight w:val="none"/>
        </w:rPr>
        <w:t>。</w:t>
      </w:r>
    </w:p>
    <w:p>
      <w:pPr>
        <w:adjustRightInd w:val="0"/>
        <w:snapToGrid w:val="0"/>
        <w:spacing w:line="360" w:lineRule="auto"/>
        <w:ind w:firstLine="420" w:firstLineChars="200"/>
        <w:rPr>
          <w:rFonts w:hint="eastAsia" w:ascii="宋体" w:hAnsi="宋体" w:eastAsia="宋体"/>
          <w:color w:val="auto"/>
          <w:szCs w:val="21"/>
          <w:highlight w:val="none"/>
          <w:u w:val="single"/>
          <w:lang w:val="en-US" w:eastAsia="zh-CN"/>
        </w:rPr>
      </w:pPr>
      <w:r>
        <w:rPr>
          <w:rFonts w:hint="eastAsia" w:ascii="宋体" w:hAnsi="宋体"/>
          <w:color w:val="auto"/>
          <w:szCs w:val="21"/>
          <w:highlight w:val="none"/>
          <w:u w:val="single"/>
        </w:rPr>
        <w:t>需要取得发包人批准才能行使的职权：对工程规模、设计标准、规划设计、生产工艺设计和使用功能进行变更；重大事项的组织协调；根据合同及工程需要下达开工令、停工令、复工令；增加的工程量、设计变更、经济方面等签证；在工程实施中发包人根据实际情况另行授予的职权</w:t>
      </w:r>
      <w:r>
        <w:rPr>
          <w:rFonts w:hint="eastAsia" w:ascii="宋体" w:hAnsi="宋体"/>
          <w:color w:val="auto"/>
          <w:szCs w:val="21"/>
          <w:highlight w:val="none"/>
          <w:u w:val="single"/>
          <w:lang w:eastAsia="zh-CN"/>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2.4.4 监理人有权要求承包人调换其人员</w:t>
      </w:r>
      <w:r>
        <w:rPr>
          <w:rFonts w:hint="eastAsia" w:ascii="宋体" w:hAnsi="宋体"/>
          <w:color w:val="auto"/>
          <w:szCs w:val="21"/>
          <w:highlight w:val="none"/>
        </w:rPr>
        <w:t>的限制条件：</w:t>
      </w:r>
      <w:r>
        <w:rPr>
          <w:rFonts w:hint="eastAsia" w:ascii="宋体" w:hAnsi="宋体"/>
          <w:color w:val="auto"/>
          <w:szCs w:val="21"/>
          <w:highlight w:val="none"/>
          <w:u w:val="single"/>
        </w:rPr>
        <w:t xml:space="preserve"> 监理人在监理过程中如发现工程承包人人员工作不力，未按合同约定履行职责，可向发包人建议，提请发包人按承包合同约定对承包人进行违约处理或调换有关人员 </w:t>
      </w:r>
      <w:r>
        <w:rPr>
          <w:rFonts w:hint="eastAsia" w:ascii="宋体" w:hAnsi="宋体"/>
          <w:color w:val="auto"/>
          <w:szCs w:val="21"/>
          <w:highlight w:val="none"/>
        </w:rPr>
        <w:t xml:space="preserve">。 </w:t>
      </w:r>
    </w:p>
    <w:p>
      <w:pPr>
        <w:adjustRightInd w:val="0"/>
        <w:snapToGrid w:val="0"/>
        <w:spacing w:line="360" w:lineRule="auto"/>
        <w:ind w:firstLine="210" w:firstLineChars="100"/>
        <w:rPr>
          <w:rFonts w:ascii="宋体" w:hAnsi="宋体"/>
          <w:color w:val="auto"/>
          <w:szCs w:val="21"/>
          <w:highlight w:val="none"/>
        </w:rPr>
      </w:pPr>
      <w:r>
        <w:rPr>
          <w:rFonts w:hint="eastAsia" w:ascii="宋体" w:hAnsi="宋体"/>
          <w:color w:val="auto"/>
          <w:kern w:val="0"/>
          <w:szCs w:val="21"/>
          <w:highlight w:val="none"/>
        </w:rPr>
        <w:t xml:space="preserve">2.5 </w:t>
      </w:r>
      <w:r>
        <w:rPr>
          <w:rFonts w:hint="eastAsia" w:ascii="宋体" w:hAnsi="宋体"/>
          <w:color w:val="auto"/>
          <w:szCs w:val="21"/>
          <w:highlight w:val="none"/>
        </w:rPr>
        <w:t>提交</w:t>
      </w:r>
      <w:r>
        <w:rPr>
          <w:rFonts w:hint="eastAsia" w:ascii="宋体" w:hAnsi="宋体" w:cs="宋体"/>
          <w:color w:val="auto"/>
          <w:kern w:val="0"/>
          <w:szCs w:val="21"/>
          <w:highlight w:val="none"/>
        </w:rPr>
        <w:t>报告</w:t>
      </w:r>
    </w:p>
    <w:p>
      <w:pPr>
        <w:adjustRightInd w:val="0"/>
        <w:snapToGrid w:val="0"/>
        <w:spacing w:line="360" w:lineRule="auto"/>
        <w:ind w:firstLine="525"/>
        <w:rPr>
          <w:rFonts w:hint="eastAsia" w:ascii="宋体" w:hAnsi="宋体" w:eastAsia="宋体"/>
          <w:color w:val="auto"/>
          <w:szCs w:val="21"/>
          <w:highlight w:val="none"/>
          <w:u w:val="single"/>
          <w:lang w:eastAsia="zh-CN"/>
        </w:rPr>
      </w:pPr>
      <w:r>
        <w:rPr>
          <w:rFonts w:hint="eastAsia" w:ascii="宋体" w:hAnsi="宋体"/>
          <w:color w:val="auto"/>
          <w:szCs w:val="21"/>
          <w:highlight w:val="none"/>
        </w:rPr>
        <w:t>监理人应提交报告的种类(</w:t>
      </w:r>
      <w:r>
        <w:rPr>
          <w:rFonts w:hint="eastAsia" w:ascii="宋体" w:hAnsi="宋体" w:cs="宋体"/>
          <w:color w:val="auto"/>
          <w:kern w:val="0"/>
          <w:szCs w:val="21"/>
          <w:highlight w:val="none"/>
        </w:rPr>
        <w:t>包括监理规划、监理月报及约定的专项报告)</w:t>
      </w:r>
      <w:r>
        <w:rPr>
          <w:rFonts w:hint="eastAsia" w:ascii="宋体" w:hAnsi="宋体"/>
          <w:color w:val="auto"/>
          <w:szCs w:val="21"/>
          <w:highlight w:val="none"/>
        </w:rPr>
        <w:t>、时间和份数</w:t>
      </w:r>
      <w:r>
        <w:rPr>
          <w:rFonts w:hint="eastAsia" w:ascii="宋体" w:hAnsi="宋体" w:cs="宋体"/>
          <w:color w:val="auto"/>
          <w:kern w:val="0"/>
          <w:szCs w:val="21"/>
          <w:highlight w:val="none"/>
        </w:rPr>
        <w:t>：</w:t>
      </w:r>
      <w:r>
        <w:rPr>
          <w:rFonts w:hint="eastAsia" w:ascii="宋体" w:hAnsi="宋体"/>
          <w:color w:val="auto"/>
          <w:szCs w:val="21"/>
          <w:highlight w:val="none"/>
          <w:u w:val="single"/>
        </w:rPr>
        <w:t xml:space="preserve"> 每月月初提交监理规划、监理月报一式伍份 </w:t>
      </w:r>
      <w:r>
        <w:rPr>
          <w:rFonts w:hint="eastAsia" w:ascii="宋体" w:hAnsi="宋体"/>
          <w:color w:val="auto"/>
          <w:szCs w:val="21"/>
          <w:highlight w:val="none"/>
        </w:rPr>
        <w:t>。</w:t>
      </w:r>
    </w:p>
    <w:p>
      <w:pPr>
        <w:adjustRightInd w:val="0"/>
        <w:snapToGrid w:val="0"/>
        <w:spacing w:line="360" w:lineRule="auto"/>
        <w:rPr>
          <w:rFonts w:ascii="宋体" w:hAnsi="宋体" w:cs="宋体"/>
          <w:color w:val="auto"/>
          <w:kern w:val="0"/>
          <w:szCs w:val="21"/>
          <w:highlight w:val="none"/>
        </w:rPr>
      </w:pPr>
      <w:r>
        <w:rPr>
          <w:rFonts w:hint="eastAsia" w:ascii="宋体" w:hAnsi="宋体"/>
          <w:color w:val="auto"/>
          <w:kern w:val="0"/>
          <w:szCs w:val="21"/>
          <w:highlight w:val="none"/>
        </w:rPr>
        <w:t xml:space="preserve"> 2.7 </w:t>
      </w:r>
      <w:r>
        <w:rPr>
          <w:rFonts w:hint="eastAsia" w:ascii="宋体" w:hAnsi="宋体" w:cs="宋体"/>
          <w:color w:val="auto"/>
          <w:kern w:val="0"/>
          <w:szCs w:val="21"/>
          <w:highlight w:val="none"/>
        </w:rPr>
        <w:t>使用委托人的财产</w:t>
      </w:r>
    </w:p>
    <w:p>
      <w:pPr>
        <w:adjustRightInd w:val="0"/>
        <w:snapToGrid w:val="0"/>
        <w:spacing w:line="360" w:lineRule="auto"/>
        <w:rPr>
          <w:rFonts w:ascii="宋体" w:hAnsi="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olor w:val="auto"/>
          <w:kern w:val="0"/>
          <w:szCs w:val="21"/>
          <w:highlight w:val="none"/>
        </w:rPr>
        <w:t xml:space="preserve">  </w:t>
      </w:r>
      <w:r>
        <w:rPr>
          <w:rFonts w:hint="eastAsia" w:ascii="宋体" w:hAnsi="宋体"/>
          <w:color w:val="auto"/>
          <w:szCs w:val="21"/>
          <w:highlight w:val="none"/>
        </w:rPr>
        <w:t>附录B中由委托人无偿提供的房屋、设备的所有权属于：</w:t>
      </w:r>
      <w:r>
        <w:rPr>
          <w:rFonts w:hint="eastAsia" w:ascii="宋体" w:hAnsi="宋体"/>
          <w:color w:val="auto"/>
          <w:szCs w:val="21"/>
          <w:highlight w:val="none"/>
          <w:u w:val="single"/>
        </w:rPr>
        <w:t xml:space="preserve">  委托人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监理人应在本合同终止后</w:t>
      </w:r>
      <w:r>
        <w:rPr>
          <w:rFonts w:hint="eastAsia" w:ascii="宋体" w:hAnsi="宋体"/>
          <w:color w:val="auto"/>
          <w:szCs w:val="21"/>
          <w:highlight w:val="none"/>
          <w:u w:val="single"/>
        </w:rPr>
        <w:t xml:space="preserve">  7 </w:t>
      </w:r>
      <w:r>
        <w:rPr>
          <w:rFonts w:hint="eastAsia" w:ascii="宋体" w:hAnsi="宋体"/>
          <w:color w:val="auto"/>
          <w:szCs w:val="21"/>
          <w:highlight w:val="none"/>
        </w:rPr>
        <w:t>天内移交委托人无偿提供的房屋、设备，移交的时间和方式为：</w:t>
      </w:r>
      <w:r>
        <w:rPr>
          <w:rFonts w:hint="eastAsia" w:ascii="宋体" w:hAnsi="宋体"/>
          <w:color w:val="auto"/>
          <w:szCs w:val="21"/>
          <w:highlight w:val="none"/>
          <w:u w:val="single"/>
        </w:rPr>
        <w:t xml:space="preserve"> 现场移交 </w:t>
      </w:r>
      <w:r>
        <w:rPr>
          <w:rFonts w:hint="eastAsia" w:ascii="宋体" w:hAnsi="宋体"/>
          <w:color w:val="auto"/>
          <w:szCs w:val="21"/>
          <w:highlight w:val="none"/>
        </w:rPr>
        <w:t>。</w:t>
      </w:r>
    </w:p>
    <w:p>
      <w:pPr>
        <w:adjustRightInd w:val="0"/>
        <w:snapToGrid w:val="0"/>
        <w:spacing w:line="360" w:lineRule="auto"/>
        <w:rPr>
          <w:rFonts w:ascii="宋体" w:hAnsi="宋体"/>
          <w:b/>
          <w:color w:val="auto"/>
          <w:szCs w:val="21"/>
          <w:highlight w:val="none"/>
        </w:rPr>
      </w:pPr>
      <w:r>
        <w:rPr>
          <w:rFonts w:hint="eastAsia" w:ascii="宋体" w:hAnsi="宋体"/>
          <w:b/>
          <w:color w:val="auto"/>
          <w:kern w:val="0"/>
          <w:szCs w:val="21"/>
          <w:highlight w:val="none"/>
        </w:rPr>
        <w:t xml:space="preserve">3. 委托人义务  </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kern w:val="0"/>
          <w:szCs w:val="21"/>
          <w:highlight w:val="none"/>
        </w:rPr>
        <w:t xml:space="preserve">3.4 </w:t>
      </w:r>
      <w:r>
        <w:rPr>
          <w:rFonts w:hint="eastAsia" w:ascii="宋体" w:hAnsi="宋体" w:cs="宋体"/>
          <w:color w:val="auto"/>
          <w:kern w:val="0"/>
          <w:szCs w:val="21"/>
          <w:highlight w:val="none"/>
        </w:rPr>
        <w:t>委托人代表</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委托人代表为：</w:t>
      </w:r>
      <w:r>
        <w:rPr>
          <w:rFonts w:hint="eastAsia" w:ascii="宋体" w:hAnsi="宋体"/>
          <w:color w:val="auto"/>
          <w:szCs w:val="21"/>
          <w:highlight w:val="none"/>
          <w:u w:val="single"/>
        </w:rPr>
        <w:t xml:space="preserve">  委托人书面通知   </w:t>
      </w:r>
      <w:r>
        <w:rPr>
          <w:rFonts w:hint="eastAsia" w:ascii="宋体" w:hAnsi="宋体"/>
          <w:color w:val="auto"/>
          <w:szCs w:val="21"/>
          <w:highlight w:val="none"/>
        </w:rPr>
        <w:t>。</w:t>
      </w:r>
    </w:p>
    <w:p>
      <w:pPr>
        <w:adjustRightInd w:val="0"/>
        <w:snapToGrid w:val="0"/>
        <w:spacing w:line="360" w:lineRule="auto"/>
        <w:ind w:firstLine="205" w:firstLineChars="98"/>
        <w:rPr>
          <w:rFonts w:ascii="宋体" w:hAnsi="宋体" w:cs="宋体"/>
          <w:color w:val="auto"/>
          <w:kern w:val="0"/>
          <w:szCs w:val="21"/>
          <w:highlight w:val="none"/>
        </w:rPr>
      </w:pPr>
      <w:r>
        <w:rPr>
          <w:rFonts w:hint="eastAsia" w:ascii="宋体" w:hAnsi="宋体"/>
          <w:color w:val="auto"/>
          <w:kern w:val="0"/>
          <w:szCs w:val="21"/>
          <w:highlight w:val="none"/>
        </w:rPr>
        <w:t xml:space="preserve">3.6 </w:t>
      </w:r>
      <w:r>
        <w:rPr>
          <w:rFonts w:hint="eastAsia" w:ascii="宋体" w:hAnsi="宋体" w:cs="宋体"/>
          <w:color w:val="auto"/>
          <w:kern w:val="0"/>
          <w:szCs w:val="21"/>
          <w:highlight w:val="none"/>
        </w:rPr>
        <w:t>答复</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委托人同意在</w:t>
      </w:r>
      <w:r>
        <w:rPr>
          <w:rFonts w:hint="eastAsia" w:ascii="宋体" w:hAnsi="宋体"/>
          <w:color w:val="auto"/>
          <w:szCs w:val="21"/>
          <w:highlight w:val="none"/>
          <w:u w:val="single"/>
        </w:rPr>
        <w:t xml:space="preserve">  7  </w:t>
      </w:r>
      <w:r>
        <w:rPr>
          <w:rFonts w:hint="eastAsia" w:ascii="宋体" w:hAnsi="宋体"/>
          <w:color w:val="auto"/>
          <w:szCs w:val="21"/>
          <w:highlight w:val="none"/>
        </w:rPr>
        <w:t>天内，对监理人书面提交并要求做出决定的事宜给予书面答复。</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4. 违约责任</w:t>
      </w:r>
    </w:p>
    <w:p>
      <w:pPr>
        <w:adjustRightInd w:val="0"/>
        <w:snapToGrid w:val="0"/>
        <w:spacing w:line="360" w:lineRule="auto"/>
        <w:ind w:firstLine="210" w:firstLineChars="100"/>
        <w:rPr>
          <w:rFonts w:ascii="宋体" w:hAnsi="宋体" w:cs="宋体"/>
          <w:color w:val="auto"/>
          <w:kern w:val="0"/>
          <w:szCs w:val="21"/>
          <w:highlight w:val="none"/>
        </w:rPr>
      </w:pPr>
      <w:r>
        <w:rPr>
          <w:rFonts w:hint="eastAsia" w:ascii="宋体" w:hAnsi="宋体"/>
          <w:color w:val="auto"/>
          <w:kern w:val="0"/>
          <w:szCs w:val="21"/>
          <w:highlight w:val="none"/>
        </w:rPr>
        <w:t xml:space="preserve">4.1 </w:t>
      </w:r>
      <w:r>
        <w:rPr>
          <w:rFonts w:hint="eastAsia" w:ascii="宋体" w:hAnsi="宋体" w:cs="宋体"/>
          <w:color w:val="auto"/>
          <w:kern w:val="0"/>
          <w:szCs w:val="21"/>
          <w:highlight w:val="none"/>
        </w:rPr>
        <w:t>监理人的违约责任</w:t>
      </w:r>
    </w:p>
    <w:p>
      <w:pPr>
        <w:adjustRightInd w:val="0"/>
        <w:snapToGrid w:val="0"/>
        <w:spacing w:line="360" w:lineRule="auto"/>
        <w:ind w:firstLine="420" w:firstLineChars="200"/>
        <w:rPr>
          <w:rFonts w:ascii="宋体" w:hAnsi="宋体"/>
          <w:bCs/>
          <w:color w:val="auto"/>
          <w:szCs w:val="21"/>
          <w:highlight w:val="none"/>
        </w:rPr>
      </w:pPr>
      <w:r>
        <w:rPr>
          <w:rFonts w:ascii="宋体" w:hAnsi="宋体"/>
          <w:bCs/>
          <w:color w:val="auto"/>
          <w:szCs w:val="21"/>
          <w:highlight w:val="none"/>
        </w:rPr>
        <w:t>监理合同执行期间，出现下列情况之一的，委托人将扣除违约金，违约金在履约担保或支付的监理服务费中扣除。</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（一）以委托人进度计划节点为考核标准，按期或提前完工不奖不扣，因监理人原因造成延迟完工每天扣人民币5000元。因监理不力造成质量、进度、投资控制、安全问题，每发生一次扣人民币1000-100000元。</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（二）监理人应严格按照监理规范执行，如由于监理人的错误或过失，给委托人造成损失的，应根据错误或过失的性质和所造成损失的程度，承担赔偿责任，赔偿金=直接经济损失×报酬比率（扣除税金）。</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（三）合同约定的总监每月到岗率不低于18日，其他监理人员每月到岗率不低于22日。</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（四）监理人不按招标文件约定的专业、人数到岗的，委托人责令限时改正，并处违约金500-1000元/人•次。</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 xml:space="preserve">（五）在监理工作范围内，监理人应对其工作人员进行安全教育并落实人身意外事故保险。监理人员的任何损伤由监理人自行负责。 </w:t>
      </w:r>
    </w:p>
    <w:p>
      <w:pPr>
        <w:adjustRightInd w:val="0"/>
        <w:snapToGrid w:val="0"/>
        <w:spacing w:line="360" w:lineRule="auto"/>
        <w:ind w:firstLine="435"/>
        <w:rPr>
          <w:bCs/>
          <w:color w:val="auto"/>
          <w:szCs w:val="21"/>
          <w:highlight w:val="none"/>
          <w:u w:val="single"/>
        </w:rPr>
      </w:pPr>
      <w:r>
        <w:rPr>
          <w:rFonts w:hint="eastAsia"/>
          <w:color w:val="auto"/>
          <w:szCs w:val="21"/>
          <w:highlight w:val="none"/>
          <w:u w:val="single"/>
        </w:rPr>
        <w:t>（六）委托人对需要旁站的施工现场进行抽查，发现缺岗视为监理人员失职，处1000元/次的违约金，情节严重的撤换该监理人员</w:t>
      </w:r>
      <w:r>
        <w:rPr>
          <w:bCs/>
          <w:color w:val="auto"/>
          <w:szCs w:val="21"/>
          <w:highlight w:val="none"/>
          <w:u w:val="single"/>
        </w:rPr>
        <w:t>。</w:t>
      </w:r>
    </w:p>
    <w:p>
      <w:pPr>
        <w:adjustRightInd w:val="0"/>
        <w:snapToGrid w:val="0"/>
        <w:spacing w:line="360" w:lineRule="auto"/>
        <w:ind w:firstLine="210" w:firstLineChars="100"/>
        <w:rPr>
          <w:rFonts w:ascii="宋体" w:hAnsi="宋体" w:cs="宋体"/>
          <w:color w:val="auto"/>
          <w:kern w:val="0"/>
          <w:szCs w:val="21"/>
          <w:highlight w:val="none"/>
        </w:rPr>
      </w:pPr>
      <w:r>
        <w:rPr>
          <w:rFonts w:hint="eastAsia" w:ascii="宋体" w:hAnsi="宋体"/>
          <w:color w:val="auto"/>
          <w:kern w:val="0"/>
          <w:szCs w:val="21"/>
          <w:highlight w:val="none"/>
        </w:rPr>
        <w:t>4.2 委</w:t>
      </w:r>
      <w:r>
        <w:rPr>
          <w:rFonts w:hint="eastAsia" w:ascii="宋体" w:hAnsi="宋体" w:cs="宋体"/>
          <w:color w:val="auto"/>
          <w:kern w:val="0"/>
          <w:szCs w:val="21"/>
          <w:highlight w:val="none"/>
        </w:rPr>
        <w:t>托人的违约责任</w:t>
      </w:r>
    </w:p>
    <w:p>
      <w:pPr>
        <w:adjustRightInd w:val="0"/>
        <w:snapToGrid w:val="0"/>
        <w:spacing w:line="360" w:lineRule="auto"/>
        <w:ind w:firstLine="435"/>
        <w:rPr>
          <w:rFonts w:ascii="宋体" w:hAnsi="宋体"/>
          <w:color w:val="auto"/>
          <w:kern w:val="0"/>
          <w:szCs w:val="21"/>
          <w:highlight w:val="none"/>
        </w:rPr>
      </w:pPr>
      <w:r>
        <w:rPr>
          <w:rFonts w:hint="eastAsia" w:ascii="宋体" w:hAnsi="宋体"/>
          <w:color w:val="auto"/>
          <w:szCs w:val="21"/>
          <w:highlight w:val="none"/>
        </w:rPr>
        <w:t>4.2.3 委托人</w:t>
      </w:r>
      <w:r>
        <w:rPr>
          <w:rFonts w:hint="eastAsia" w:ascii="宋体" w:hAnsi="宋体"/>
          <w:color w:val="auto"/>
          <w:kern w:val="0"/>
          <w:szCs w:val="21"/>
          <w:highlight w:val="none"/>
        </w:rPr>
        <w:t>逾期付款利息按下列方法确定：</w:t>
      </w:r>
      <w:r>
        <w:rPr>
          <w:rFonts w:hint="eastAsia" w:ascii="宋体" w:hAnsi="宋体"/>
          <w:color w:val="auto"/>
          <w:kern w:val="0"/>
          <w:szCs w:val="21"/>
          <w:highlight w:val="none"/>
          <w:u w:val="single"/>
        </w:rPr>
        <w:t xml:space="preserve"> 委托人不支付利息 </w:t>
      </w:r>
      <w:r>
        <w:rPr>
          <w:rFonts w:hint="eastAsia" w:ascii="宋体" w:hAnsi="宋体"/>
          <w:color w:val="auto"/>
          <w:kern w:val="0"/>
          <w:szCs w:val="21"/>
          <w:highlight w:val="none"/>
        </w:rPr>
        <w:t>。</w:t>
      </w:r>
    </w:p>
    <w:p>
      <w:pPr>
        <w:adjustRightInd w:val="0"/>
        <w:snapToGrid w:val="0"/>
        <w:spacing w:line="360" w:lineRule="auto"/>
        <w:rPr>
          <w:rFonts w:ascii="宋体" w:hAnsi="宋体"/>
          <w:b/>
          <w:color w:val="auto"/>
          <w:szCs w:val="21"/>
          <w:highlight w:val="none"/>
        </w:rPr>
      </w:pPr>
      <w:r>
        <w:rPr>
          <w:rFonts w:hint="eastAsia" w:ascii="宋体" w:hAnsi="宋体"/>
          <w:b/>
          <w:bCs/>
          <w:color w:val="auto"/>
          <w:szCs w:val="21"/>
          <w:highlight w:val="none"/>
        </w:rPr>
        <w:t>5. 支付</w:t>
      </w:r>
    </w:p>
    <w:p>
      <w:pPr>
        <w:adjustRightInd w:val="0"/>
        <w:snapToGrid w:val="0"/>
        <w:spacing w:line="360" w:lineRule="auto"/>
        <w:rPr>
          <w:rFonts w:ascii="宋体" w:hAnsi="宋体"/>
          <w:bCs/>
          <w:color w:val="auto"/>
          <w:szCs w:val="21"/>
          <w:highlight w:val="none"/>
        </w:rPr>
      </w:pPr>
      <w:r>
        <w:rPr>
          <w:rFonts w:hint="eastAsia" w:ascii="宋体" w:hAnsi="宋体"/>
          <w:color w:val="auto"/>
          <w:szCs w:val="21"/>
          <w:highlight w:val="none"/>
        </w:rPr>
        <w:t xml:space="preserve">  5.1 </w:t>
      </w:r>
      <w:r>
        <w:rPr>
          <w:rFonts w:hint="eastAsia" w:ascii="宋体" w:hAnsi="宋体"/>
          <w:bCs/>
          <w:color w:val="auto"/>
          <w:szCs w:val="21"/>
          <w:highlight w:val="none"/>
        </w:rPr>
        <w:t>支付货币</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币种为：</w:t>
      </w:r>
      <w:r>
        <w:rPr>
          <w:rFonts w:hint="eastAsia" w:ascii="宋体" w:hAnsi="宋体"/>
          <w:color w:val="auto"/>
          <w:szCs w:val="21"/>
          <w:highlight w:val="none"/>
          <w:u w:val="single"/>
        </w:rPr>
        <w:t xml:space="preserve"> 人民币 </w:t>
      </w:r>
      <w:r>
        <w:rPr>
          <w:rFonts w:hint="eastAsia" w:ascii="宋体" w:hAnsi="宋体"/>
          <w:color w:val="auto"/>
          <w:szCs w:val="21"/>
          <w:highlight w:val="none"/>
        </w:rPr>
        <w:t>。</w:t>
      </w:r>
    </w:p>
    <w:p>
      <w:pPr>
        <w:adjustRightInd w:val="0"/>
        <w:snapToGrid w:val="0"/>
        <w:spacing w:line="360" w:lineRule="auto"/>
        <w:ind w:firstLine="210" w:firstLineChars="100"/>
        <w:rPr>
          <w:rFonts w:ascii="宋体" w:hAnsi="宋体"/>
          <w:color w:val="auto"/>
          <w:kern w:val="0"/>
          <w:szCs w:val="21"/>
          <w:highlight w:val="none"/>
        </w:rPr>
      </w:pPr>
      <w:r>
        <w:rPr>
          <w:rFonts w:hint="eastAsia" w:ascii="宋体" w:hAnsi="宋体"/>
          <w:color w:val="auto"/>
          <w:kern w:val="0"/>
          <w:szCs w:val="21"/>
          <w:highlight w:val="none"/>
        </w:rPr>
        <w:t>5.3 支付酬金</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合同价计算方式：以自然资源和规划局核发的《浙江省建设工程规划核实确认书》上注明的总建筑面积×2900元/平方米计算的建安工程费用（含设备购置）为收费基数（后续不再调整），结合中标系数【即按《建设工程监理与相关服务收费管理规定》（发改价格【2007】670号）文件规定收费标准的的</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 xml:space="preserve">%】计算出监理服务费合同价。 </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正常工作酬金的支付：</w:t>
      </w:r>
    </w:p>
    <w:tbl>
      <w:tblPr>
        <w:tblStyle w:val="18"/>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4675"/>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支付次数</w:t>
            </w:r>
          </w:p>
        </w:tc>
        <w:tc>
          <w:tcPr>
            <w:tcW w:w="4675"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支付时间</w:t>
            </w:r>
          </w:p>
        </w:tc>
        <w:tc>
          <w:tcPr>
            <w:tcW w:w="1276" w:type="dxa"/>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支付比例</w:t>
            </w:r>
          </w:p>
        </w:tc>
        <w:tc>
          <w:tcPr>
            <w:tcW w:w="1842"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第</w:t>
            </w:r>
            <w:r>
              <w:rPr>
                <w:rFonts w:hint="eastAsia" w:ascii="宋体" w:hAnsi="宋体"/>
                <w:color w:val="auto"/>
                <w:kern w:val="0"/>
                <w:szCs w:val="21"/>
                <w:highlight w:val="none"/>
                <w:lang w:eastAsia="zh-CN"/>
              </w:rPr>
              <w:t>一</w:t>
            </w:r>
            <w:r>
              <w:rPr>
                <w:rFonts w:hint="eastAsia" w:ascii="宋体" w:hAnsi="宋体"/>
                <w:color w:val="auto"/>
                <w:kern w:val="0"/>
                <w:szCs w:val="21"/>
                <w:highlight w:val="none"/>
              </w:rPr>
              <w:t>次付款</w:t>
            </w:r>
          </w:p>
        </w:tc>
        <w:tc>
          <w:tcPr>
            <w:tcW w:w="4675"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全部工程完成±0.00后</w:t>
            </w:r>
            <w:r>
              <w:rPr>
                <w:rFonts w:hint="eastAsia" w:ascii="宋体" w:hAnsi="宋体"/>
                <w:color w:val="auto"/>
                <w:kern w:val="0"/>
                <w:szCs w:val="21"/>
                <w:highlight w:val="none"/>
                <w:lang w:val="en-US" w:eastAsia="zh-CN"/>
              </w:rPr>
              <w:t xml:space="preserve"> 15天内</w:t>
            </w:r>
          </w:p>
        </w:tc>
        <w:tc>
          <w:tcPr>
            <w:tcW w:w="127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0%</w:t>
            </w:r>
          </w:p>
        </w:tc>
        <w:tc>
          <w:tcPr>
            <w:tcW w:w="1842"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第</w:t>
            </w:r>
            <w:r>
              <w:rPr>
                <w:rFonts w:hint="eastAsia" w:ascii="宋体" w:hAnsi="宋体"/>
                <w:color w:val="auto"/>
                <w:kern w:val="0"/>
                <w:szCs w:val="21"/>
                <w:highlight w:val="none"/>
                <w:lang w:eastAsia="zh-CN"/>
              </w:rPr>
              <w:t>二</w:t>
            </w:r>
            <w:r>
              <w:rPr>
                <w:rFonts w:hint="eastAsia" w:ascii="宋体" w:hAnsi="宋体"/>
                <w:color w:val="auto"/>
                <w:kern w:val="0"/>
                <w:szCs w:val="21"/>
                <w:highlight w:val="none"/>
              </w:rPr>
              <w:t>次付款</w:t>
            </w:r>
          </w:p>
        </w:tc>
        <w:tc>
          <w:tcPr>
            <w:tcW w:w="4675"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全部工程主体结顶后</w:t>
            </w:r>
            <w:r>
              <w:rPr>
                <w:rFonts w:hint="eastAsia" w:ascii="宋体" w:hAnsi="宋体"/>
                <w:color w:val="auto"/>
                <w:kern w:val="0"/>
                <w:szCs w:val="21"/>
                <w:highlight w:val="none"/>
                <w:lang w:val="en-US" w:eastAsia="zh-CN"/>
              </w:rPr>
              <w:t xml:space="preserve"> 15天内</w:t>
            </w:r>
          </w:p>
        </w:tc>
        <w:tc>
          <w:tcPr>
            <w:tcW w:w="127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lang w:val="en-US" w:eastAsia="zh-CN"/>
              </w:rPr>
              <w:t>35</w:t>
            </w:r>
            <w:r>
              <w:rPr>
                <w:rFonts w:hint="eastAsia" w:ascii="宋体" w:hAnsi="宋体"/>
                <w:color w:val="auto"/>
                <w:kern w:val="0"/>
                <w:szCs w:val="21"/>
                <w:highlight w:val="none"/>
              </w:rPr>
              <w:t>%</w:t>
            </w:r>
          </w:p>
        </w:tc>
        <w:tc>
          <w:tcPr>
            <w:tcW w:w="1842" w:type="dxa"/>
            <w:vAlign w:val="center"/>
          </w:tcPr>
          <w:p>
            <w:pPr>
              <w:spacing w:line="360" w:lineRule="auto"/>
              <w:jc w:val="center"/>
              <w:rPr>
                <w:rFonts w:hint="eastAsia" w:ascii="宋体" w:hAnsi="宋体" w:eastAsia="宋体"/>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第</w:t>
            </w:r>
            <w:r>
              <w:rPr>
                <w:rFonts w:hint="eastAsia" w:ascii="宋体" w:hAnsi="宋体"/>
                <w:color w:val="auto"/>
                <w:kern w:val="0"/>
                <w:szCs w:val="21"/>
                <w:highlight w:val="none"/>
                <w:lang w:eastAsia="zh-CN"/>
              </w:rPr>
              <w:t>三</w:t>
            </w:r>
            <w:r>
              <w:rPr>
                <w:rFonts w:hint="eastAsia" w:ascii="宋体" w:hAnsi="宋体"/>
                <w:color w:val="auto"/>
                <w:kern w:val="0"/>
                <w:szCs w:val="21"/>
                <w:highlight w:val="none"/>
              </w:rPr>
              <w:t>次付款</w:t>
            </w:r>
          </w:p>
        </w:tc>
        <w:tc>
          <w:tcPr>
            <w:tcW w:w="4675"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工程竣工验收通过后</w:t>
            </w:r>
            <w:r>
              <w:rPr>
                <w:rFonts w:hint="eastAsia" w:ascii="宋体" w:hAnsi="宋体"/>
                <w:color w:val="auto"/>
                <w:kern w:val="0"/>
                <w:szCs w:val="21"/>
                <w:highlight w:val="none"/>
                <w:lang w:val="en-US" w:eastAsia="zh-CN"/>
              </w:rPr>
              <w:t xml:space="preserve"> 15天内</w:t>
            </w:r>
          </w:p>
        </w:tc>
        <w:tc>
          <w:tcPr>
            <w:tcW w:w="127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lang w:val="en-US" w:eastAsia="zh-CN"/>
              </w:rPr>
              <w:t>25</w:t>
            </w:r>
            <w:r>
              <w:rPr>
                <w:rFonts w:hint="eastAsia" w:ascii="宋体" w:hAnsi="宋体"/>
                <w:color w:val="auto"/>
                <w:kern w:val="0"/>
                <w:szCs w:val="21"/>
                <w:highlight w:val="none"/>
              </w:rPr>
              <w:t>%</w:t>
            </w:r>
          </w:p>
        </w:tc>
        <w:tc>
          <w:tcPr>
            <w:tcW w:w="1842" w:type="dxa"/>
            <w:vAlign w:val="center"/>
          </w:tcPr>
          <w:p>
            <w:pPr>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第</w:t>
            </w:r>
            <w:r>
              <w:rPr>
                <w:rFonts w:hint="eastAsia" w:ascii="宋体" w:hAnsi="宋体"/>
                <w:color w:val="auto"/>
                <w:kern w:val="0"/>
                <w:szCs w:val="21"/>
                <w:highlight w:val="none"/>
                <w:lang w:eastAsia="zh-CN"/>
              </w:rPr>
              <w:t>四</w:t>
            </w:r>
            <w:r>
              <w:rPr>
                <w:rFonts w:hint="eastAsia" w:ascii="宋体" w:hAnsi="宋体"/>
                <w:color w:val="auto"/>
                <w:kern w:val="0"/>
                <w:szCs w:val="21"/>
                <w:highlight w:val="none"/>
              </w:rPr>
              <w:t>次付款</w:t>
            </w:r>
          </w:p>
        </w:tc>
        <w:tc>
          <w:tcPr>
            <w:tcW w:w="4675"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工程结算</w:t>
            </w:r>
            <w:r>
              <w:rPr>
                <w:rFonts w:hint="eastAsia" w:ascii="宋体" w:hAnsi="宋体"/>
                <w:color w:val="auto"/>
                <w:kern w:val="0"/>
                <w:szCs w:val="21"/>
                <w:highlight w:val="none"/>
                <w:lang w:eastAsia="zh-CN"/>
              </w:rPr>
              <w:t>审核</w:t>
            </w:r>
            <w:r>
              <w:rPr>
                <w:rFonts w:hint="eastAsia" w:ascii="宋体" w:hAnsi="宋体"/>
                <w:color w:val="auto"/>
                <w:kern w:val="0"/>
                <w:szCs w:val="21"/>
                <w:highlight w:val="none"/>
              </w:rPr>
              <w:t>完成并收到全部监理资料后</w:t>
            </w:r>
            <w:r>
              <w:rPr>
                <w:rFonts w:hint="eastAsia" w:ascii="宋体" w:hAnsi="宋体"/>
                <w:color w:val="auto"/>
                <w:kern w:val="0"/>
                <w:szCs w:val="21"/>
                <w:highlight w:val="none"/>
                <w:lang w:val="en-US" w:eastAsia="zh-CN"/>
              </w:rPr>
              <w:t xml:space="preserve"> 15天内</w:t>
            </w:r>
          </w:p>
        </w:tc>
        <w:tc>
          <w:tcPr>
            <w:tcW w:w="127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18.5%</w:t>
            </w:r>
          </w:p>
        </w:tc>
        <w:tc>
          <w:tcPr>
            <w:tcW w:w="1842" w:type="dxa"/>
            <w:vAlign w:val="center"/>
          </w:tcPr>
          <w:p>
            <w:pPr>
              <w:spacing w:line="360" w:lineRule="auto"/>
              <w:jc w:val="center"/>
              <w:rPr>
                <w:rFonts w:hint="eastAsia" w:ascii="宋体" w:hAnsi="宋体" w:eastAsia="宋体"/>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第</w:t>
            </w:r>
            <w:r>
              <w:rPr>
                <w:rFonts w:hint="eastAsia" w:ascii="宋体" w:hAnsi="宋体"/>
                <w:color w:val="auto"/>
                <w:kern w:val="0"/>
                <w:szCs w:val="21"/>
                <w:highlight w:val="none"/>
                <w:lang w:eastAsia="zh-CN"/>
              </w:rPr>
              <w:t>五</w:t>
            </w:r>
            <w:r>
              <w:rPr>
                <w:rFonts w:hint="eastAsia" w:ascii="宋体" w:hAnsi="宋体"/>
                <w:color w:val="auto"/>
                <w:kern w:val="0"/>
                <w:szCs w:val="21"/>
                <w:highlight w:val="none"/>
              </w:rPr>
              <w:t>次付款</w:t>
            </w:r>
          </w:p>
        </w:tc>
        <w:tc>
          <w:tcPr>
            <w:tcW w:w="4675"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工程竣工验收通过</w:t>
            </w:r>
            <w:r>
              <w:rPr>
                <w:rFonts w:hint="eastAsia" w:ascii="宋体" w:hAnsi="宋体"/>
                <w:color w:val="auto"/>
                <w:kern w:val="0"/>
                <w:szCs w:val="21"/>
                <w:highlight w:val="none"/>
                <w:lang w:eastAsia="zh-CN"/>
              </w:rPr>
              <w:t>满</w:t>
            </w:r>
            <w:r>
              <w:rPr>
                <w:rFonts w:hint="eastAsia" w:ascii="宋体" w:hAnsi="宋体"/>
                <w:color w:val="auto"/>
                <w:kern w:val="0"/>
                <w:szCs w:val="21"/>
                <w:highlight w:val="none"/>
              </w:rPr>
              <w:t>2年后15天内</w:t>
            </w:r>
          </w:p>
        </w:tc>
        <w:tc>
          <w:tcPr>
            <w:tcW w:w="127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1.5%</w:t>
            </w:r>
          </w:p>
        </w:tc>
        <w:tc>
          <w:tcPr>
            <w:tcW w:w="1842" w:type="dxa"/>
            <w:vAlign w:val="center"/>
          </w:tcPr>
          <w:p>
            <w:pPr>
              <w:spacing w:line="360" w:lineRule="auto"/>
              <w:jc w:val="center"/>
              <w:rPr>
                <w:rFonts w:ascii="宋体" w:hAnsi="宋体"/>
                <w:color w:val="auto"/>
                <w:kern w:val="0"/>
                <w:szCs w:val="21"/>
                <w:highlight w:val="none"/>
              </w:rPr>
            </w:pPr>
          </w:p>
        </w:tc>
      </w:tr>
    </w:tbl>
    <w:p>
      <w:pPr>
        <w:adjustRightInd w:val="0"/>
        <w:snapToGrid w:val="0"/>
        <w:spacing w:line="360" w:lineRule="auto"/>
        <w:ind w:firstLine="420" w:firstLineChars="200"/>
        <w:rPr>
          <w:rFonts w:hint="eastAsia" w:ascii="宋体" w:hAnsi="宋体"/>
          <w:bCs/>
          <w:color w:val="auto"/>
          <w:szCs w:val="21"/>
          <w:highlight w:val="none"/>
          <w:lang w:val="en-US" w:eastAsia="zh-CN"/>
        </w:rPr>
      </w:pPr>
      <w:r>
        <w:rPr>
          <w:rFonts w:hint="eastAsia" w:ascii="宋体" w:hAnsi="宋体"/>
          <w:bCs/>
          <w:color w:val="auto"/>
          <w:szCs w:val="21"/>
          <w:highlight w:val="none"/>
        </w:rPr>
        <w:t xml:space="preserve">注：1、以上每一次付款时应扣除监理人未按招标文件约定配备到岗监理人员的相应监理费及违约金。 </w:t>
      </w:r>
      <w:r>
        <w:rPr>
          <w:rFonts w:hint="eastAsia" w:ascii="宋体" w:hAnsi="宋体"/>
          <w:bCs/>
          <w:color w:val="auto"/>
          <w:szCs w:val="21"/>
          <w:highlight w:val="none"/>
          <w:lang w:val="en-US" w:eastAsia="zh-CN"/>
        </w:rPr>
        <w:t xml:space="preserve"> </w:t>
      </w:r>
    </w:p>
    <w:p>
      <w:pPr>
        <w:numPr>
          <w:ilvl w:val="0"/>
          <w:numId w:val="0"/>
        </w:num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lang w:val="en-US" w:eastAsia="zh-CN"/>
        </w:rPr>
        <w:t>2</w:t>
      </w:r>
      <w:r>
        <w:rPr>
          <w:rFonts w:hint="eastAsia" w:ascii="宋体" w:hAnsi="宋体"/>
          <w:bCs/>
          <w:color w:val="auto"/>
          <w:szCs w:val="21"/>
          <w:highlight w:val="none"/>
        </w:rPr>
        <w:t xml:space="preserve">、因委托人原因引起工程中断，待条件允许后继续履约或终止合同，委托人无须支付监理人暂停履约和解除合同所需的任何费用。 </w:t>
      </w:r>
    </w:p>
    <w:p>
      <w:pPr>
        <w:numPr>
          <w:ilvl w:val="0"/>
          <w:numId w:val="0"/>
        </w:num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支付监理工程款之前，监理人必须按有关规定提供增值税专用发票给委托人，因监理人未及时提供有效增值税专用发票导致委托人延迟付款的，委托人不承担责任。在支付监理工程款时，相关罚款（违约金）直接扣除。” </w:t>
      </w:r>
    </w:p>
    <w:p>
      <w:pPr>
        <w:adjustRightInd w:val="0"/>
        <w:snapToGrid w:val="0"/>
        <w:spacing w:line="360" w:lineRule="auto"/>
        <w:rPr>
          <w:rFonts w:ascii="宋体" w:hAnsi="宋体"/>
          <w:b/>
          <w:bCs/>
          <w:color w:val="auto"/>
          <w:szCs w:val="21"/>
          <w:highlight w:val="none"/>
        </w:rPr>
      </w:pPr>
      <w:r>
        <w:rPr>
          <w:rFonts w:hint="eastAsia" w:ascii="宋体" w:hAnsi="宋体"/>
          <w:bCs/>
          <w:color w:val="auto"/>
          <w:szCs w:val="21"/>
          <w:highlight w:val="none"/>
        </w:rPr>
        <w:t>6</w:t>
      </w:r>
      <w:r>
        <w:rPr>
          <w:rFonts w:hint="eastAsia" w:ascii="宋体" w:hAnsi="宋体"/>
          <w:b/>
          <w:bCs/>
          <w:color w:val="auto"/>
          <w:szCs w:val="21"/>
          <w:highlight w:val="none"/>
        </w:rPr>
        <w:t>. 合同生效、变更、暂停、解除与终止</w:t>
      </w:r>
    </w:p>
    <w:p>
      <w:pPr>
        <w:adjustRightInd w:val="0"/>
        <w:snapToGrid w:val="0"/>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6.1 生效</w:t>
      </w:r>
    </w:p>
    <w:p>
      <w:pPr>
        <w:adjustRightInd w:val="0"/>
        <w:snapToGrid w:val="0"/>
        <w:spacing w:line="360" w:lineRule="auto"/>
        <w:ind w:firstLine="480"/>
        <w:rPr>
          <w:rFonts w:ascii="宋体" w:hAnsi="宋体"/>
          <w:color w:val="auto"/>
          <w:szCs w:val="21"/>
          <w:highlight w:val="none"/>
        </w:rPr>
      </w:pPr>
      <w:r>
        <w:rPr>
          <w:rFonts w:hint="eastAsia" w:ascii="宋体" w:hAnsi="宋体"/>
          <w:color w:val="auto"/>
          <w:szCs w:val="21"/>
          <w:highlight w:val="none"/>
        </w:rPr>
        <w:t>本合同生效条件：</w:t>
      </w:r>
      <w:r>
        <w:rPr>
          <w:rFonts w:hint="eastAsia" w:ascii="宋体" w:hAnsi="宋体"/>
          <w:color w:val="auto"/>
          <w:szCs w:val="21"/>
          <w:highlight w:val="none"/>
          <w:u w:val="single"/>
        </w:rPr>
        <w:t xml:space="preserve"> 双方签字盖章后 </w:t>
      </w:r>
      <w:r>
        <w:rPr>
          <w:rFonts w:hint="eastAsia" w:ascii="宋体" w:hAnsi="宋体"/>
          <w:color w:val="auto"/>
          <w:szCs w:val="21"/>
          <w:highlight w:val="none"/>
        </w:rPr>
        <w:t>。</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6.2 变更</w:t>
      </w:r>
    </w:p>
    <w:p>
      <w:pPr>
        <w:adjustRightInd w:val="0"/>
        <w:snapToGrid w:val="0"/>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6.2.2 除不可抗力外， 因非监理人原因导致本合同期限延长时，附加工作酬金按下列方法确定：</w:t>
      </w:r>
    </w:p>
    <w:p>
      <w:pPr>
        <w:adjustRightInd w:val="0"/>
        <w:snapToGrid w:val="0"/>
        <w:spacing w:line="360" w:lineRule="auto"/>
        <w:ind w:firstLine="420" w:firstLineChars="200"/>
        <w:rPr>
          <w:bCs/>
          <w:color w:val="auto"/>
          <w:szCs w:val="21"/>
          <w:highlight w:val="none"/>
        </w:rPr>
      </w:pPr>
      <w:r>
        <w:rPr>
          <w:bCs/>
          <w:color w:val="auto"/>
          <w:szCs w:val="21"/>
          <w:highlight w:val="none"/>
        </w:rPr>
        <w:t>非监理方原因延长监理服务期的计算方法：</w:t>
      </w:r>
      <w:r>
        <w:rPr>
          <w:rFonts w:hint="eastAsia"/>
          <w:bCs/>
          <w:color w:val="auto"/>
          <w:szCs w:val="21"/>
          <w:highlight w:val="none"/>
          <w:u w:val="single"/>
        </w:rPr>
        <w:t>不予计取</w:t>
      </w:r>
    </w:p>
    <w:p>
      <w:pPr>
        <w:adjustRightInd w:val="0"/>
        <w:snapToGrid w:val="0"/>
        <w:spacing w:line="360" w:lineRule="auto"/>
        <w:rPr>
          <w:rFonts w:ascii="宋体" w:hAnsi="宋体"/>
          <w:b/>
          <w:color w:val="auto"/>
          <w:szCs w:val="21"/>
          <w:highlight w:val="none"/>
        </w:rPr>
      </w:pPr>
      <w:r>
        <w:rPr>
          <w:rFonts w:hint="eastAsia" w:ascii="宋体" w:hAnsi="宋体"/>
          <w:b/>
          <w:bCs/>
          <w:color w:val="auto"/>
          <w:szCs w:val="21"/>
          <w:highlight w:val="none"/>
        </w:rPr>
        <w:t>7. 争议解决</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 xml:space="preserve">7.2 </w:t>
      </w:r>
      <w:r>
        <w:rPr>
          <w:rFonts w:hint="eastAsia" w:ascii="宋体" w:hAnsi="宋体"/>
          <w:bCs/>
          <w:color w:val="auto"/>
          <w:szCs w:val="21"/>
          <w:highlight w:val="none"/>
        </w:rPr>
        <w:t>调解</w:t>
      </w:r>
    </w:p>
    <w:p>
      <w:pPr>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本合同争议进行调解时，可提交</w:t>
      </w:r>
      <w:r>
        <w:rPr>
          <w:rFonts w:hint="eastAsia" w:ascii="宋体" w:hAnsi="宋体"/>
          <w:color w:val="auto"/>
          <w:szCs w:val="21"/>
          <w:highlight w:val="none"/>
          <w:u w:val="single"/>
        </w:rPr>
        <w:t xml:space="preserve">   /    </w:t>
      </w:r>
      <w:r>
        <w:rPr>
          <w:rFonts w:hint="eastAsia" w:ascii="宋体" w:hAnsi="宋体"/>
          <w:color w:val="auto"/>
          <w:szCs w:val="21"/>
          <w:highlight w:val="none"/>
        </w:rPr>
        <w:t>进行调解。</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 xml:space="preserve">7.3 </w:t>
      </w:r>
      <w:r>
        <w:rPr>
          <w:rFonts w:hint="eastAsia" w:ascii="宋体" w:hAnsi="宋体"/>
          <w:bCs/>
          <w:color w:val="auto"/>
          <w:szCs w:val="21"/>
          <w:highlight w:val="none"/>
        </w:rPr>
        <w:t>仲裁或诉讼</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合同争议的最终解决方式为下列第</w:t>
      </w:r>
      <w:r>
        <w:rPr>
          <w:rFonts w:hint="eastAsia" w:ascii="宋体" w:hAnsi="宋体"/>
          <w:color w:val="auto"/>
          <w:szCs w:val="21"/>
          <w:highlight w:val="none"/>
          <w:u w:val="single"/>
        </w:rPr>
        <w:t xml:space="preserve">    （2）   </w:t>
      </w:r>
      <w:r>
        <w:rPr>
          <w:rFonts w:hint="eastAsia" w:ascii="宋体" w:hAnsi="宋体"/>
          <w:color w:val="auto"/>
          <w:szCs w:val="21"/>
          <w:highlight w:val="none"/>
        </w:rPr>
        <w:t>种方式：</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（1）提请</w:t>
      </w:r>
      <w:r>
        <w:rPr>
          <w:rFonts w:hint="eastAsia" w:ascii="宋体" w:hAnsi="宋体"/>
          <w:color w:val="auto"/>
          <w:szCs w:val="21"/>
          <w:highlight w:val="none"/>
          <w:u w:val="single"/>
        </w:rPr>
        <w:t xml:space="preserve">  金华 </w:t>
      </w:r>
      <w:r>
        <w:rPr>
          <w:rFonts w:hint="eastAsia" w:ascii="宋体" w:hAnsi="宋体"/>
          <w:color w:val="auto"/>
          <w:szCs w:val="21"/>
          <w:highlight w:val="none"/>
        </w:rPr>
        <w:t>仲裁委员会进行仲裁。</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项目所在地   </w:t>
      </w:r>
      <w:r>
        <w:rPr>
          <w:rFonts w:hint="eastAsia" w:ascii="宋体" w:hAnsi="宋体"/>
          <w:color w:val="auto"/>
          <w:szCs w:val="21"/>
          <w:highlight w:val="none"/>
        </w:rPr>
        <w:t>人民法院提起诉讼。</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8. 其他</w:t>
      </w:r>
    </w:p>
    <w:p>
      <w:pPr>
        <w:adjustRightInd w:val="0"/>
        <w:snapToGrid w:val="0"/>
        <w:spacing w:line="360" w:lineRule="auto"/>
        <w:rPr>
          <w:rFonts w:ascii="宋体" w:hAnsi="宋体"/>
          <w:bCs/>
          <w:color w:val="auto"/>
          <w:szCs w:val="21"/>
          <w:highlight w:val="none"/>
        </w:rPr>
      </w:pPr>
      <w:r>
        <w:rPr>
          <w:rFonts w:hint="eastAsia" w:ascii="宋体" w:hAnsi="宋体"/>
          <w:bCs/>
          <w:color w:val="auto"/>
          <w:szCs w:val="21"/>
          <w:highlight w:val="none"/>
        </w:rPr>
        <w:t xml:space="preserve">  8.3 咨询费用：含在监理服务费中。</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8.4 奖励：无。</w:t>
      </w:r>
    </w:p>
    <w:p>
      <w:pPr>
        <w:adjustRightInd w:val="0"/>
        <w:snapToGrid w:val="0"/>
        <w:spacing w:line="360" w:lineRule="auto"/>
        <w:ind w:firstLine="205" w:firstLineChars="98"/>
        <w:rPr>
          <w:rFonts w:ascii="宋体" w:hAnsi="宋体"/>
          <w:color w:val="auto"/>
          <w:szCs w:val="21"/>
          <w:highlight w:val="none"/>
        </w:rPr>
      </w:pPr>
      <w:r>
        <w:rPr>
          <w:rFonts w:hint="eastAsia" w:ascii="宋体" w:hAnsi="宋体"/>
          <w:color w:val="auto"/>
          <w:szCs w:val="21"/>
          <w:highlight w:val="none"/>
        </w:rPr>
        <w:t>8.6 保密</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委托人申明的保密事项和期限：</w:t>
      </w:r>
      <w:r>
        <w:rPr>
          <w:rFonts w:hint="eastAsia" w:ascii="宋体" w:hAnsi="宋体"/>
          <w:color w:val="auto"/>
          <w:szCs w:val="21"/>
          <w:highlight w:val="none"/>
          <w:u w:val="single"/>
        </w:rPr>
        <w:t xml:space="preserve">  按国家有关规定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监理人申明的保密事项和期限：</w:t>
      </w:r>
      <w:r>
        <w:rPr>
          <w:rFonts w:hint="eastAsia" w:ascii="宋体" w:hAnsi="宋体"/>
          <w:color w:val="auto"/>
          <w:szCs w:val="21"/>
          <w:highlight w:val="none"/>
          <w:u w:val="single"/>
        </w:rPr>
        <w:t xml:space="preserve">  按国家有关规定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第三方申明的保密事项和期限：</w:t>
      </w:r>
      <w:r>
        <w:rPr>
          <w:rFonts w:hint="eastAsia" w:ascii="宋体" w:hAnsi="宋体"/>
          <w:color w:val="auto"/>
          <w:szCs w:val="21"/>
          <w:highlight w:val="none"/>
          <w:u w:val="single"/>
        </w:rPr>
        <w:t xml:space="preserve">  按国家有关规定  </w:t>
      </w:r>
      <w:r>
        <w:rPr>
          <w:rFonts w:hint="eastAsia" w:ascii="宋体" w:hAnsi="宋体"/>
          <w:color w:val="auto"/>
          <w:szCs w:val="21"/>
          <w:highlight w:val="none"/>
        </w:rPr>
        <w:t>。</w:t>
      </w:r>
    </w:p>
    <w:p>
      <w:pPr>
        <w:adjustRightInd w:val="0"/>
        <w:snapToGrid w:val="0"/>
        <w:spacing w:line="360" w:lineRule="auto"/>
        <w:ind w:firstLine="205" w:firstLineChars="98"/>
        <w:rPr>
          <w:rFonts w:ascii="宋体" w:hAnsi="宋体"/>
          <w:bCs/>
          <w:color w:val="auto"/>
          <w:szCs w:val="21"/>
          <w:highlight w:val="none"/>
        </w:rPr>
      </w:pPr>
      <w:r>
        <w:rPr>
          <w:rFonts w:hint="eastAsia" w:ascii="宋体" w:hAnsi="宋体"/>
          <w:color w:val="auto"/>
          <w:szCs w:val="21"/>
          <w:highlight w:val="none"/>
        </w:rPr>
        <w:t>8.8</w:t>
      </w:r>
      <w:r>
        <w:rPr>
          <w:rFonts w:hint="eastAsia" w:ascii="宋体" w:hAnsi="宋体"/>
          <w:bCs/>
          <w:color w:val="auto"/>
          <w:szCs w:val="21"/>
          <w:highlight w:val="none"/>
        </w:rPr>
        <w:t>著作权</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监理人在本合同履行期间及本合同终止后两年内出版涉及本工程的有关监理与相关服务的资料的限制条件：</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9. 补充条款</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9.1监理人未经委托人同意，总监理工程师和监理班子成员承接其他项目或在其他项目任职的为擅自承接其他项目。擅自承接其他项目或更换人员的，按更换人员岗位扣处违约金。</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9.2监理人的监理人员数量必须满足工程的施工要求，且专业配套齐全，身体健康，能胜任监理工作，总监理工程师月到位率不得少于18天，监理班子其他成员月到位天数承诺必须达到22天及以上（具体按监理人月承诺到位天数为准）。总监或总监代表每天至少有一人在现场，其他监理人员按施工内容要求合理配备，在节假日和双休日施工期间必须按委托人要求合理安排监理人员满足监理需要。</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9.3监理人在收到委托人书面通知后按投标时承诺配备齐全的监理人员并经委托人确认后进场，进场后人员不得更换，若需更换的须取得委托人书面同意意见，并按人员更换条款处理。进场后人员实行每天实名考勤制度并考核。</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9.4本项目监理人员按项目实际情况按需（阶段）进场。委托人发出进场书面通知5 日内，监理人按书面通知要求配备相应岗位、数量的监理人员报委托人确认后进场。</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9.5合同执行期间委托人对不称职监理人员有权提出更换，监理人不得拒绝或拖延。由委托人提出更换的，需按规定支付违约金，违约金在支付监理费时予以扣除；造成安全责任事故或损害委托人利益，除承担相应的责任外还应该向委托人赔偿相应的损失。</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9.6监理班子人员到位率按月考核，考核起点以委托人的书面通知为准，未按承诺到位率到位的将受到违约处理，总监理工程师、总监代表未按承诺到位率到位的每天违约金1000 元/人，专业监理工程师未按承诺到位率到位的每人每天违约金800元，专业监理员、造价管理员、资料员未按承诺到位率到位的每人每天违约金 500 元。每月按监理人月承诺到位天数进行考核。</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9.7监理班子组成人员必须确保在监理服务期内其年龄和资格有效并符合相关规定，因年龄资格无效等原因造成人员更换的，相关违约处理按上述总监不称职予以执行。</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9.8监理人必须组建拟委派现场的项目监理组织机构，监理组织机构须包括总监、总监代表、各专业监理工程师（土建、安装、市政专业）、各专业监理员（土建、安装、市政专业）、造价管理员等。委托人根据项目实际需要要求增设监理专业或人员的，监理人不得拒绝，监理费不再另行支付。监理人根据项目实际需要增设监理专业或人员的，监理费不再另行支付。本项目总监理工程师和监理班子成员，须确保办理施工许可证，要求上报在建或预中标工程详细信息报委托人备案。若因监理人不能办理施工许可证的，合同中止，没收监理人履约保证金，上报建设行政主管部门进行不良信用评价，并赔偿造成业主损失的一切费用。</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9.9</w:t>
      </w:r>
      <w:r>
        <w:rPr>
          <w:color w:val="auto"/>
          <w:szCs w:val="21"/>
          <w:highlight w:val="none"/>
          <w:u w:val="single"/>
        </w:rPr>
        <w:t>监理人在监理过程中未按监理人具体监理工作内容或委托人审批后的监理大纲和实施细则内容执行的视情节严重程度每次违约金 500元～20000元，涉及违法的报行政主管部门按有关规定处理。</w:t>
      </w:r>
    </w:p>
    <w:p>
      <w:pPr>
        <w:adjustRightInd w:val="0"/>
        <w:snapToGrid w:val="0"/>
        <w:spacing w:line="360" w:lineRule="auto"/>
        <w:ind w:firstLine="435"/>
        <w:rPr>
          <w:color w:val="auto"/>
          <w:szCs w:val="21"/>
          <w:highlight w:val="none"/>
          <w:u w:val="single"/>
        </w:rPr>
      </w:pPr>
      <w:r>
        <w:rPr>
          <w:color w:val="auto"/>
          <w:szCs w:val="21"/>
          <w:highlight w:val="none"/>
          <w:u w:val="single"/>
        </w:rPr>
        <w:t>9.</w:t>
      </w:r>
      <w:r>
        <w:rPr>
          <w:rFonts w:hint="eastAsia"/>
          <w:color w:val="auto"/>
          <w:szCs w:val="21"/>
          <w:highlight w:val="none"/>
          <w:u w:val="single"/>
        </w:rPr>
        <w:t>10</w:t>
      </w:r>
      <w:r>
        <w:rPr>
          <w:color w:val="auto"/>
          <w:szCs w:val="21"/>
          <w:highlight w:val="none"/>
          <w:u w:val="single"/>
        </w:rPr>
        <w:t>监理人须按相关投资控制规定对项目进行投资控制管理</w:t>
      </w:r>
      <w:r>
        <w:rPr>
          <w:rFonts w:hint="eastAsia"/>
          <w:color w:val="auto"/>
          <w:szCs w:val="21"/>
          <w:highlight w:val="none"/>
          <w:u w:val="single"/>
        </w:rPr>
        <w:t>，</w:t>
      </w:r>
      <w:r>
        <w:rPr>
          <w:color w:val="auto"/>
          <w:szCs w:val="21"/>
          <w:highlight w:val="none"/>
          <w:u w:val="single"/>
        </w:rPr>
        <w:t>对擅自变更和扩大建设规模和提高建设标准等未及时制止和报告项目委托人的，可视情上报行政主管部门进行不良信用评价。</w:t>
      </w:r>
    </w:p>
    <w:p>
      <w:pPr>
        <w:adjustRightInd w:val="0"/>
        <w:snapToGrid w:val="0"/>
        <w:spacing w:line="360" w:lineRule="auto"/>
        <w:ind w:firstLine="435"/>
        <w:rPr>
          <w:color w:val="auto"/>
          <w:szCs w:val="21"/>
          <w:highlight w:val="none"/>
          <w:u w:val="single"/>
        </w:rPr>
      </w:pPr>
      <w:r>
        <w:rPr>
          <w:color w:val="auto"/>
          <w:szCs w:val="21"/>
          <w:highlight w:val="none"/>
          <w:u w:val="single"/>
        </w:rPr>
        <w:t>9.1</w:t>
      </w:r>
      <w:r>
        <w:rPr>
          <w:rFonts w:hint="eastAsia"/>
          <w:color w:val="auto"/>
          <w:szCs w:val="21"/>
          <w:highlight w:val="none"/>
          <w:u w:val="single"/>
        </w:rPr>
        <w:t>1</w:t>
      </w:r>
      <w:r>
        <w:rPr>
          <w:color w:val="auto"/>
          <w:szCs w:val="21"/>
          <w:highlight w:val="none"/>
          <w:u w:val="single"/>
        </w:rPr>
        <w:t>缺陷责任期从工程通过竣工验收之日起计。由于承包商原因导致工程无法按规定期限进行竣工验收的，缺陷责任期从实际通过竣工验收之日起计。由于委托人原因导致工程无法按规定期限进行竣工验收的，在承包商提交竣工验收报告</w:t>
      </w:r>
      <w:r>
        <w:rPr>
          <w:rFonts w:hint="eastAsia"/>
          <w:color w:val="auto"/>
          <w:szCs w:val="21"/>
          <w:highlight w:val="none"/>
          <w:u w:val="single"/>
        </w:rPr>
        <w:t>90</w:t>
      </w:r>
      <w:r>
        <w:rPr>
          <w:color w:val="auto"/>
          <w:szCs w:val="21"/>
          <w:highlight w:val="none"/>
          <w:u w:val="single"/>
        </w:rPr>
        <w:t>天后，工程自动进入缺陷责任期。本工程缺陷责任期为</w:t>
      </w:r>
      <w:r>
        <w:rPr>
          <w:rFonts w:hint="eastAsia"/>
          <w:color w:val="auto"/>
          <w:szCs w:val="21"/>
          <w:highlight w:val="none"/>
          <w:u w:val="single"/>
        </w:rPr>
        <w:t>2</w:t>
      </w:r>
      <w:r>
        <w:rPr>
          <w:color w:val="auto"/>
          <w:szCs w:val="21"/>
          <w:highlight w:val="none"/>
          <w:u w:val="single"/>
        </w:rPr>
        <w:t>年。缺陷责任期内监理人根据委托人需要提供监理服务。</w:t>
      </w:r>
    </w:p>
    <w:p>
      <w:pPr>
        <w:adjustRightInd w:val="0"/>
        <w:snapToGrid w:val="0"/>
        <w:spacing w:line="360" w:lineRule="auto"/>
        <w:ind w:firstLine="435"/>
        <w:rPr>
          <w:color w:val="auto"/>
          <w:szCs w:val="21"/>
          <w:highlight w:val="none"/>
          <w:u w:val="single"/>
        </w:rPr>
      </w:pPr>
      <w:r>
        <w:rPr>
          <w:color w:val="auto"/>
          <w:szCs w:val="21"/>
          <w:highlight w:val="none"/>
          <w:u w:val="single"/>
        </w:rPr>
        <w:t>9.1</w:t>
      </w:r>
      <w:r>
        <w:rPr>
          <w:rFonts w:hint="eastAsia"/>
          <w:color w:val="auto"/>
          <w:szCs w:val="21"/>
          <w:highlight w:val="none"/>
          <w:u w:val="single"/>
        </w:rPr>
        <w:t>2</w:t>
      </w:r>
      <w:r>
        <w:rPr>
          <w:color w:val="auto"/>
          <w:szCs w:val="21"/>
          <w:highlight w:val="none"/>
          <w:u w:val="single"/>
        </w:rPr>
        <w:t>本项目采用全过程代建开发模式，监理人应接受委托人对其操作规范性进行的监督和检查并按监理大纲和监理合同做好全部监理工作，按全过程代建开发模式在整个监理过程中配合委托人开展项目代建开发工作。监理过程中若未按上述约定履约合同的，经委托人核实后按监理合同进行违约处理。</w:t>
      </w:r>
    </w:p>
    <w:p>
      <w:pPr>
        <w:adjustRightInd w:val="0"/>
        <w:snapToGrid w:val="0"/>
        <w:spacing w:line="360" w:lineRule="auto"/>
        <w:ind w:firstLine="435"/>
        <w:rPr>
          <w:color w:val="auto"/>
          <w:szCs w:val="21"/>
          <w:highlight w:val="none"/>
          <w:u w:val="single"/>
        </w:rPr>
      </w:pPr>
      <w:r>
        <w:rPr>
          <w:color w:val="auto"/>
          <w:szCs w:val="21"/>
          <w:highlight w:val="none"/>
          <w:u w:val="single"/>
        </w:rPr>
        <w:t>9.1</w:t>
      </w:r>
      <w:r>
        <w:rPr>
          <w:rFonts w:hint="eastAsia"/>
          <w:color w:val="auto"/>
          <w:szCs w:val="21"/>
          <w:highlight w:val="none"/>
          <w:u w:val="single"/>
        </w:rPr>
        <w:t>3</w:t>
      </w:r>
      <w:r>
        <w:rPr>
          <w:color w:val="auto"/>
          <w:szCs w:val="21"/>
          <w:highlight w:val="none"/>
          <w:u w:val="single"/>
        </w:rPr>
        <w:t>监理人必须</w:t>
      </w:r>
      <w:r>
        <w:rPr>
          <w:rFonts w:hint="eastAsia"/>
          <w:color w:val="auto"/>
          <w:szCs w:val="21"/>
          <w:highlight w:val="none"/>
          <w:u w:val="single"/>
        </w:rPr>
        <w:t>投标文件</w:t>
      </w:r>
      <w:r>
        <w:rPr>
          <w:color w:val="auto"/>
          <w:szCs w:val="21"/>
          <w:highlight w:val="none"/>
          <w:u w:val="single"/>
        </w:rPr>
        <w:t>（投入本工程办公检测仪器、设备汇总表）上的要求配备相关检测仪器及设备，期间及时做好设备维保直至工程竣工验收备案完成。</w:t>
      </w:r>
    </w:p>
    <w:p>
      <w:pPr>
        <w:adjustRightInd w:val="0"/>
        <w:snapToGrid w:val="0"/>
        <w:spacing w:line="360" w:lineRule="auto"/>
        <w:ind w:firstLine="435"/>
        <w:rPr>
          <w:color w:val="auto"/>
          <w:szCs w:val="21"/>
          <w:highlight w:val="none"/>
          <w:u w:val="single"/>
        </w:rPr>
      </w:pPr>
      <w:r>
        <w:rPr>
          <w:rFonts w:hint="eastAsia"/>
          <w:color w:val="auto"/>
          <w:szCs w:val="21"/>
          <w:highlight w:val="none"/>
          <w:u w:val="single"/>
        </w:rPr>
        <w:t>9.14其他未尽事宜可在签订合同时予以明确或按现行的法律法规或签订补充协议，补充协议与本合同条款具有同等效力。</w:t>
      </w:r>
    </w:p>
    <w:p>
      <w:pPr>
        <w:pageBreakBefore/>
        <w:spacing w:line="360" w:lineRule="auto"/>
        <w:jc w:val="center"/>
        <w:rPr>
          <w:rFonts w:ascii="宋体" w:hAnsi="宋体"/>
          <w:b/>
          <w:bCs/>
          <w:color w:val="auto"/>
          <w:szCs w:val="28"/>
          <w:highlight w:val="none"/>
        </w:rPr>
      </w:pPr>
      <w:r>
        <w:rPr>
          <w:rFonts w:hint="eastAsia" w:ascii="宋体" w:hAnsi="宋体"/>
          <w:b/>
          <w:bCs/>
          <w:color w:val="auto"/>
          <w:sz w:val="24"/>
          <w:szCs w:val="28"/>
          <w:highlight w:val="none"/>
        </w:rPr>
        <w:t>附录A  相关服务的范围和内容</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color w:val="auto"/>
          <w:szCs w:val="21"/>
          <w:highlight w:val="none"/>
        </w:rPr>
      </w:pPr>
      <w:r>
        <w:rPr>
          <w:rFonts w:hint="eastAsia"/>
          <w:color w:val="auto"/>
          <w:szCs w:val="21"/>
          <w:highlight w:val="none"/>
        </w:rPr>
        <w:t>包括但不限于：</w:t>
      </w:r>
    </w:p>
    <w:p>
      <w:pPr>
        <w:adjustRightInd w:val="0"/>
        <w:snapToGrid w:val="0"/>
        <w:spacing w:line="360" w:lineRule="auto"/>
        <w:ind w:firstLine="420" w:firstLineChars="200"/>
        <w:rPr>
          <w:color w:val="auto"/>
          <w:szCs w:val="21"/>
          <w:highlight w:val="none"/>
        </w:rPr>
      </w:pPr>
      <w:r>
        <w:rPr>
          <w:rFonts w:hint="eastAsia"/>
          <w:color w:val="auto"/>
          <w:szCs w:val="21"/>
          <w:highlight w:val="none"/>
        </w:rPr>
        <w:t>1、设计方面</w:t>
      </w:r>
    </w:p>
    <w:p>
      <w:pPr>
        <w:adjustRightInd w:val="0"/>
        <w:snapToGrid w:val="0"/>
        <w:spacing w:line="360" w:lineRule="auto"/>
        <w:ind w:firstLine="420" w:firstLineChars="200"/>
        <w:rPr>
          <w:color w:val="auto"/>
          <w:szCs w:val="21"/>
          <w:highlight w:val="none"/>
        </w:rPr>
      </w:pPr>
      <w:r>
        <w:rPr>
          <w:rFonts w:hint="eastAsia"/>
          <w:color w:val="auto"/>
          <w:szCs w:val="21"/>
          <w:highlight w:val="none"/>
        </w:rPr>
        <w:t xml:space="preserve">（1）协助委托人审查本工程施工设计图纸文件。 </w:t>
      </w:r>
    </w:p>
    <w:p>
      <w:pPr>
        <w:adjustRightInd w:val="0"/>
        <w:snapToGrid w:val="0"/>
        <w:spacing w:line="360" w:lineRule="auto"/>
        <w:ind w:firstLine="420" w:firstLineChars="200"/>
        <w:rPr>
          <w:color w:val="auto"/>
          <w:szCs w:val="21"/>
          <w:highlight w:val="none"/>
        </w:rPr>
      </w:pPr>
      <w:r>
        <w:rPr>
          <w:rFonts w:hint="eastAsia"/>
          <w:color w:val="auto"/>
          <w:szCs w:val="21"/>
          <w:highlight w:val="none"/>
        </w:rPr>
        <w:t>（2）督促设计单位按合同和协议要求及时供应合格的设计文件；组织设计单位进行现场设计交底；</w:t>
      </w:r>
    </w:p>
    <w:p>
      <w:pPr>
        <w:adjustRightInd w:val="0"/>
        <w:snapToGrid w:val="0"/>
        <w:spacing w:line="360" w:lineRule="auto"/>
        <w:ind w:firstLine="420" w:firstLineChars="200"/>
        <w:rPr>
          <w:color w:val="auto"/>
          <w:szCs w:val="21"/>
          <w:highlight w:val="none"/>
        </w:rPr>
      </w:pPr>
      <w:r>
        <w:rPr>
          <w:rFonts w:hint="eastAsia"/>
          <w:color w:val="auto"/>
          <w:szCs w:val="21"/>
          <w:highlight w:val="none"/>
        </w:rPr>
        <w:t>（3）协助委托人核查设计文件和各项设计变更，提出意见和优化建议；协助委托人会同设计单位对重大技术问题和优化设计进行专题讨论；</w:t>
      </w:r>
    </w:p>
    <w:p>
      <w:pPr>
        <w:adjustRightInd w:val="0"/>
        <w:snapToGrid w:val="0"/>
        <w:spacing w:line="360" w:lineRule="auto"/>
        <w:ind w:firstLine="420" w:firstLineChars="200"/>
        <w:rPr>
          <w:color w:val="auto"/>
          <w:szCs w:val="21"/>
          <w:highlight w:val="none"/>
        </w:rPr>
      </w:pPr>
      <w:r>
        <w:rPr>
          <w:rFonts w:hint="eastAsia"/>
          <w:color w:val="auto"/>
          <w:szCs w:val="21"/>
          <w:highlight w:val="none"/>
        </w:rPr>
        <w:t>（4）及时向工程承建单位签发设计文件，发现问题及时与设计单位联系，并向委托人报告；审核施工单位对设计文件的意见和建议，会同设计单位进行研究，并督促设计单位尽快给予答复；</w:t>
      </w:r>
    </w:p>
    <w:p>
      <w:pPr>
        <w:adjustRightInd w:val="0"/>
        <w:snapToGrid w:val="0"/>
        <w:spacing w:line="360" w:lineRule="auto"/>
        <w:ind w:firstLine="420" w:firstLineChars="200"/>
        <w:rPr>
          <w:color w:val="auto"/>
          <w:szCs w:val="21"/>
          <w:highlight w:val="none"/>
        </w:rPr>
      </w:pPr>
      <w:r>
        <w:rPr>
          <w:rFonts w:hint="eastAsia"/>
          <w:color w:val="auto"/>
          <w:szCs w:val="21"/>
          <w:highlight w:val="none"/>
        </w:rPr>
        <w:t>（5）保管所有设计文件及过程资料，监理服务期限届满或本合同终止时移交给委托人；</w:t>
      </w:r>
    </w:p>
    <w:p>
      <w:pPr>
        <w:adjustRightInd w:val="0"/>
        <w:snapToGrid w:val="0"/>
        <w:spacing w:line="360" w:lineRule="auto"/>
        <w:ind w:firstLine="420" w:firstLineChars="200"/>
        <w:rPr>
          <w:color w:val="auto"/>
          <w:szCs w:val="21"/>
          <w:highlight w:val="none"/>
        </w:rPr>
      </w:pPr>
      <w:r>
        <w:rPr>
          <w:rFonts w:hint="eastAsia"/>
          <w:color w:val="auto"/>
          <w:szCs w:val="21"/>
          <w:highlight w:val="none"/>
        </w:rPr>
        <w:t>（6）其他相关业务；</w:t>
      </w:r>
    </w:p>
    <w:p>
      <w:pPr>
        <w:adjustRightInd w:val="0"/>
        <w:snapToGrid w:val="0"/>
        <w:spacing w:line="360" w:lineRule="auto"/>
        <w:ind w:firstLine="420" w:firstLineChars="200"/>
        <w:rPr>
          <w:color w:val="auto"/>
          <w:szCs w:val="21"/>
          <w:highlight w:val="none"/>
        </w:rPr>
      </w:pPr>
      <w:r>
        <w:rPr>
          <w:rFonts w:hint="eastAsia"/>
          <w:color w:val="auto"/>
          <w:szCs w:val="21"/>
          <w:highlight w:val="none"/>
        </w:rPr>
        <w:t>2、施工方面</w:t>
      </w:r>
    </w:p>
    <w:p>
      <w:pPr>
        <w:adjustRightInd w:val="0"/>
        <w:snapToGrid w:val="0"/>
        <w:spacing w:line="360" w:lineRule="auto"/>
        <w:ind w:firstLine="420" w:firstLineChars="200"/>
        <w:rPr>
          <w:color w:val="auto"/>
          <w:szCs w:val="21"/>
          <w:highlight w:val="none"/>
        </w:rPr>
      </w:pPr>
      <w:r>
        <w:rPr>
          <w:rFonts w:hint="eastAsia"/>
          <w:color w:val="auto"/>
          <w:szCs w:val="21"/>
          <w:highlight w:val="none"/>
        </w:rPr>
        <w:t>（1）全面管理工程建设施工合同；</w:t>
      </w:r>
    </w:p>
    <w:p>
      <w:pPr>
        <w:adjustRightInd w:val="0"/>
        <w:snapToGrid w:val="0"/>
        <w:spacing w:line="360" w:lineRule="auto"/>
        <w:ind w:firstLine="420" w:firstLineChars="200"/>
        <w:rPr>
          <w:color w:val="auto"/>
          <w:szCs w:val="21"/>
          <w:highlight w:val="none"/>
        </w:rPr>
      </w:pPr>
      <w:r>
        <w:rPr>
          <w:rFonts w:hint="eastAsia"/>
          <w:color w:val="auto"/>
          <w:szCs w:val="21"/>
          <w:highlight w:val="none"/>
        </w:rPr>
        <w:t>（2）配合委托人按合同规定落实必须提供的施工条件，检查工程承建单位的开工准备工作，并在检查与审查合格后签发合同工程开工令；</w:t>
      </w:r>
    </w:p>
    <w:p>
      <w:pPr>
        <w:adjustRightInd w:val="0"/>
        <w:snapToGrid w:val="0"/>
        <w:spacing w:line="360" w:lineRule="auto"/>
        <w:ind w:firstLine="420" w:firstLineChars="200"/>
        <w:rPr>
          <w:color w:val="auto"/>
          <w:szCs w:val="21"/>
          <w:highlight w:val="none"/>
        </w:rPr>
      </w:pPr>
      <w:r>
        <w:rPr>
          <w:rFonts w:hint="eastAsia"/>
          <w:color w:val="auto"/>
          <w:szCs w:val="21"/>
          <w:highlight w:val="none"/>
        </w:rPr>
        <w:t>（3）审批承建单位提交的施工组织设计、施工技术措施计划、作业规程、工艺试验成果、临建工程设计以及使用的原材料等；</w:t>
      </w:r>
    </w:p>
    <w:p>
      <w:pPr>
        <w:adjustRightInd w:val="0"/>
        <w:snapToGrid w:val="0"/>
        <w:spacing w:line="360" w:lineRule="auto"/>
        <w:ind w:firstLine="420" w:firstLineChars="200"/>
        <w:rPr>
          <w:color w:val="auto"/>
          <w:szCs w:val="21"/>
          <w:highlight w:val="none"/>
        </w:rPr>
      </w:pPr>
      <w:r>
        <w:rPr>
          <w:rFonts w:hint="eastAsia"/>
          <w:color w:val="auto"/>
          <w:szCs w:val="21"/>
          <w:highlight w:val="none"/>
        </w:rPr>
        <w:t>（4）协助签发补充的设计文件，技术规范等，答复工程承建单位提出的建议和意见；</w:t>
      </w:r>
    </w:p>
    <w:p>
      <w:pPr>
        <w:adjustRightInd w:val="0"/>
        <w:snapToGrid w:val="0"/>
        <w:spacing w:line="360" w:lineRule="auto"/>
        <w:ind w:firstLine="420" w:firstLineChars="200"/>
        <w:rPr>
          <w:color w:val="auto"/>
          <w:szCs w:val="21"/>
          <w:highlight w:val="none"/>
        </w:rPr>
      </w:pPr>
      <w:r>
        <w:rPr>
          <w:rFonts w:hint="eastAsia"/>
          <w:color w:val="auto"/>
          <w:szCs w:val="21"/>
          <w:highlight w:val="none"/>
        </w:rPr>
        <w:t>（5）工程进度控制：根据监理大纲中的相关内容，提出工程控制进度目标，并以此为基础审查批准承建单位提出的施工实施进度计划，上报委托人并检查其实施情况。当实施进度发生较大偏差时，及时向委托人、全过程代建开发单位、施工单位提出调整控制性进度计划的建议意见。</w:t>
      </w:r>
    </w:p>
    <w:p>
      <w:pPr>
        <w:adjustRightInd w:val="0"/>
        <w:snapToGrid w:val="0"/>
        <w:spacing w:line="360" w:lineRule="auto"/>
        <w:ind w:firstLine="420" w:firstLineChars="200"/>
        <w:rPr>
          <w:color w:val="auto"/>
          <w:szCs w:val="21"/>
          <w:highlight w:val="none"/>
        </w:rPr>
      </w:pPr>
      <w:r>
        <w:rPr>
          <w:rFonts w:hint="eastAsia"/>
          <w:color w:val="auto"/>
          <w:szCs w:val="21"/>
          <w:highlight w:val="none"/>
        </w:rPr>
        <w:t>（6）施工质量控制：审查承建单位的质量控制体系和措施，核实质量文件。依据工程建设合同文件、设计文件、技术规范与质量验收标准，对施工前准备工作进行检查，对施工工序与资源投入进行监督，以单元工程为基础，对基础工程、隐蔽工程、分项分部工程的质量进行检查、签证和施工质量的评价（均有图片记录存档）。组织质量事故调查，分类评定质量事故等级，审批质量事故处理措施。</w:t>
      </w:r>
    </w:p>
    <w:p>
      <w:pPr>
        <w:adjustRightInd w:val="0"/>
        <w:snapToGrid w:val="0"/>
        <w:spacing w:line="360" w:lineRule="auto"/>
        <w:ind w:firstLine="420" w:firstLineChars="200"/>
        <w:rPr>
          <w:color w:val="auto"/>
          <w:szCs w:val="21"/>
          <w:highlight w:val="none"/>
        </w:rPr>
      </w:pPr>
      <w:r>
        <w:rPr>
          <w:rFonts w:hint="eastAsia"/>
          <w:color w:val="auto"/>
          <w:szCs w:val="21"/>
          <w:highlight w:val="none"/>
        </w:rPr>
        <w:t>（7）工程造价控制：审核承建单位提交的工程计量及费用等，协助委托人确认工程进度款的支付，在相互统一的前提下，签发付款凭证。受理索赔申请，会同委托人进行索赔调查和谈判，并提出处理意见。会同委托人处理合同与工程变更，下达变更指令；会同委托人对变更工程量与造价有关的隐蔽工程做好现场核定签证手续。</w:t>
      </w:r>
    </w:p>
    <w:p>
      <w:pPr>
        <w:adjustRightInd w:val="0"/>
        <w:snapToGrid w:val="0"/>
        <w:spacing w:line="360" w:lineRule="auto"/>
        <w:ind w:firstLine="420" w:firstLineChars="200"/>
        <w:rPr>
          <w:color w:val="auto"/>
          <w:szCs w:val="21"/>
          <w:highlight w:val="none"/>
        </w:rPr>
      </w:pPr>
      <w:r>
        <w:rPr>
          <w:rFonts w:hint="eastAsia"/>
          <w:color w:val="auto"/>
          <w:szCs w:val="21"/>
          <w:highlight w:val="none"/>
        </w:rPr>
        <w:t>（8）监理人必须对承建人的安全行为进行监督，包括但不限于以下内容：审查施工安全措施、劳动防护和环境保护设施等，并负责检查、督促落实执行。督促承建单位落实国家、行业安全规范和标准及金华市安全主管部门的各项要求。监理单位必须无条件参加建设单位或全过程代建开发单位组织的定期或不定期安全大检查，并督促承建单位落实整改。参加重大安全事故调查并提出处理意见。</w:t>
      </w:r>
    </w:p>
    <w:p>
      <w:pPr>
        <w:adjustRightInd w:val="0"/>
        <w:snapToGrid w:val="0"/>
        <w:spacing w:line="360" w:lineRule="auto"/>
        <w:ind w:firstLine="420" w:firstLineChars="200"/>
        <w:rPr>
          <w:color w:val="auto"/>
          <w:szCs w:val="21"/>
          <w:highlight w:val="none"/>
        </w:rPr>
      </w:pPr>
      <w:r>
        <w:rPr>
          <w:rFonts w:hint="eastAsia"/>
          <w:color w:val="auto"/>
          <w:szCs w:val="21"/>
          <w:highlight w:val="none"/>
        </w:rPr>
        <w:t>（9）主持监理合同授权范围内工程建设各方协调工作，编发施工协调会议纪要。</w:t>
      </w:r>
    </w:p>
    <w:p>
      <w:pPr>
        <w:adjustRightInd w:val="0"/>
        <w:snapToGrid w:val="0"/>
        <w:spacing w:line="360" w:lineRule="auto"/>
        <w:ind w:firstLine="420" w:firstLineChars="200"/>
        <w:rPr>
          <w:color w:val="auto"/>
          <w:szCs w:val="21"/>
          <w:highlight w:val="none"/>
        </w:rPr>
      </w:pPr>
      <w:r>
        <w:rPr>
          <w:rFonts w:hint="eastAsia"/>
          <w:color w:val="auto"/>
          <w:szCs w:val="21"/>
          <w:highlight w:val="none"/>
        </w:rPr>
        <w:t>（10）协助委托人按国家规定进行工程各阶段验收、单位工程验收及竣工验收，提交相应的工程建设监理报告，审查设计单位、工程建设单位和施工单位编制的竣工图纸和资料，督促施工单位整理施工归档文件；</w:t>
      </w:r>
    </w:p>
    <w:p>
      <w:pPr>
        <w:adjustRightInd w:val="0"/>
        <w:snapToGrid w:val="0"/>
        <w:spacing w:line="360" w:lineRule="auto"/>
        <w:ind w:firstLine="420" w:firstLineChars="200"/>
        <w:rPr>
          <w:color w:val="auto"/>
          <w:szCs w:val="21"/>
          <w:highlight w:val="none"/>
        </w:rPr>
      </w:pPr>
      <w:r>
        <w:rPr>
          <w:rFonts w:hint="eastAsia"/>
          <w:color w:val="auto"/>
          <w:szCs w:val="21"/>
          <w:highlight w:val="none"/>
        </w:rPr>
        <w:t>（11）</w:t>
      </w:r>
      <w:r>
        <w:rPr>
          <w:color w:val="auto"/>
          <w:szCs w:val="21"/>
          <w:highlight w:val="none"/>
        </w:rPr>
        <w:t>监理</w:t>
      </w:r>
      <w:r>
        <w:rPr>
          <w:rFonts w:hint="eastAsia"/>
          <w:color w:val="auto"/>
          <w:szCs w:val="21"/>
          <w:highlight w:val="none"/>
        </w:rPr>
        <w:t>人</w:t>
      </w:r>
      <w:r>
        <w:rPr>
          <w:color w:val="auto"/>
          <w:szCs w:val="21"/>
          <w:highlight w:val="none"/>
        </w:rPr>
        <w:t>需做好施工现场监理记录和信息反馈</w:t>
      </w:r>
      <w:r>
        <w:rPr>
          <w:rFonts w:hint="eastAsia"/>
          <w:color w:val="auto"/>
          <w:szCs w:val="21"/>
          <w:highlight w:val="none"/>
        </w:rPr>
        <w:t>（含影像资料和旁站记录等）</w:t>
      </w:r>
      <w:r>
        <w:rPr>
          <w:color w:val="auto"/>
          <w:szCs w:val="21"/>
          <w:highlight w:val="none"/>
        </w:rPr>
        <w:t>。按要求编制监理月、年报，对工程资料及档案按期进行整编和管理，并在工程竣工验收或监理期结束后移交委托人。</w:t>
      </w:r>
    </w:p>
    <w:p>
      <w:pPr>
        <w:adjustRightInd w:val="0"/>
        <w:snapToGrid w:val="0"/>
        <w:spacing w:line="360" w:lineRule="auto"/>
        <w:ind w:firstLine="420" w:firstLineChars="200"/>
        <w:rPr>
          <w:color w:val="auto"/>
          <w:szCs w:val="21"/>
          <w:highlight w:val="none"/>
        </w:rPr>
      </w:pPr>
      <w:r>
        <w:rPr>
          <w:rFonts w:hint="eastAsia"/>
          <w:color w:val="auto"/>
          <w:szCs w:val="21"/>
          <w:highlight w:val="none"/>
        </w:rPr>
        <w:t>（12）其他相关工作。</w:t>
      </w:r>
    </w:p>
    <w:p>
      <w:pPr>
        <w:adjustRightInd w:val="0"/>
        <w:snapToGrid w:val="0"/>
        <w:spacing w:line="360" w:lineRule="auto"/>
        <w:ind w:firstLine="420" w:firstLineChars="200"/>
        <w:rPr>
          <w:color w:val="auto"/>
          <w:szCs w:val="21"/>
          <w:highlight w:val="none"/>
        </w:rPr>
      </w:pPr>
      <w:r>
        <w:rPr>
          <w:rFonts w:hint="eastAsia"/>
          <w:color w:val="auto"/>
          <w:szCs w:val="21"/>
          <w:highlight w:val="none"/>
        </w:rPr>
        <w:t>3、设备材料方面</w:t>
      </w:r>
    </w:p>
    <w:p>
      <w:pPr>
        <w:adjustRightInd w:val="0"/>
        <w:snapToGrid w:val="0"/>
        <w:spacing w:line="360" w:lineRule="auto"/>
        <w:ind w:firstLine="420" w:firstLineChars="200"/>
        <w:rPr>
          <w:color w:val="auto"/>
          <w:szCs w:val="21"/>
          <w:highlight w:val="none"/>
        </w:rPr>
      </w:pPr>
      <w:r>
        <w:rPr>
          <w:rFonts w:hint="eastAsia"/>
          <w:color w:val="auto"/>
          <w:szCs w:val="21"/>
          <w:highlight w:val="none"/>
        </w:rPr>
        <w:t>（1）配合代建开发单位按合同规定对设备材料采购进度的进行检查；</w:t>
      </w:r>
    </w:p>
    <w:p>
      <w:pPr>
        <w:adjustRightInd w:val="0"/>
        <w:snapToGrid w:val="0"/>
        <w:spacing w:line="360" w:lineRule="auto"/>
        <w:ind w:firstLine="420" w:firstLineChars="200"/>
        <w:rPr>
          <w:color w:val="auto"/>
          <w:szCs w:val="21"/>
          <w:highlight w:val="none"/>
        </w:rPr>
      </w:pPr>
      <w:r>
        <w:rPr>
          <w:rFonts w:hint="eastAsia"/>
          <w:color w:val="auto"/>
          <w:szCs w:val="21"/>
          <w:highlight w:val="none"/>
        </w:rPr>
        <w:t xml:space="preserve">（2）对到场的设备和材料进行必要的检验和验收；加强原材料、半成品的进场管理。     </w:t>
      </w:r>
    </w:p>
    <w:p>
      <w:pPr>
        <w:adjustRightInd w:val="0"/>
        <w:snapToGrid w:val="0"/>
        <w:spacing w:line="360" w:lineRule="auto"/>
        <w:ind w:firstLine="420" w:firstLineChars="200"/>
        <w:rPr>
          <w:color w:val="auto"/>
          <w:szCs w:val="21"/>
          <w:highlight w:val="none"/>
        </w:rPr>
      </w:pPr>
      <w:r>
        <w:rPr>
          <w:rFonts w:hint="eastAsia"/>
          <w:color w:val="auto"/>
          <w:szCs w:val="21"/>
          <w:highlight w:val="none"/>
        </w:rPr>
        <w:t>（3）必要时，对大型或重点设备材料的加工制造环境和加工过程进行监督、检查，并提出建议和意见；</w:t>
      </w:r>
    </w:p>
    <w:p>
      <w:pPr>
        <w:adjustRightInd w:val="0"/>
        <w:snapToGrid w:val="0"/>
        <w:spacing w:line="360" w:lineRule="auto"/>
        <w:ind w:firstLine="420" w:firstLineChars="200"/>
        <w:rPr>
          <w:color w:val="auto"/>
          <w:szCs w:val="21"/>
          <w:highlight w:val="none"/>
        </w:rPr>
      </w:pPr>
      <w:r>
        <w:rPr>
          <w:rFonts w:hint="eastAsia"/>
          <w:color w:val="auto"/>
          <w:szCs w:val="21"/>
          <w:highlight w:val="none"/>
        </w:rPr>
        <w:t>（4）对重要安装部位和工序进行旁站监督；对商品砼加工场地原材料及外加剂的旁站监督。</w:t>
      </w:r>
    </w:p>
    <w:p>
      <w:pPr>
        <w:adjustRightInd w:val="0"/>
        <w:snapToGrid w:val="0"/>
        <w:spacing w:line="360" w:lineRule="auto"/>
        <w:ind w:firstLine="420" w:firstLineChars="200"/>
        <w:rPr>
          <w:color w:val="auto"/>
          <w:szCs w:val="21"/>
          <w:highlight w:val="none"/>
        </w:rPr>
      </w:pPr>
      <w:r>
        <w:rPr>
          <w:rFonts w:hint="eastAsia"/>
          <w:color w:val="auto"/>
          <w:szCs w:val="21"/>
          <w:highlight w:val="none"/>
        </w:rPr>
        <w:t>（5）对中间验收过程进行质量检验；</w:t>
      </w:r>
    </w:p>
    <w:p>
      <w:pPr>
        <w:adjustRightInd w:val="0"/>
        <w:snapToGrid w:val="0"/>
        <w:spacing w:line="360" w:lineRule="auto"/>
        <w:ind w:firstLine="420" w:firstLineChars="200"/>
        <w:rPr>
          <w:color w:val="auto"/>
          <w:szCs w:val="21"/>
          <w:highlight w:val="none"/>
        </w:rPr>
      </w:pPr>
      <w:r>
        <w:rPr>
          <w:rFonts w:hint="eastAsia"/>
          <w:color w:val="auto"/>
          <w:szCs w:val="21"/>
          <w:highlight w:val="none"/>
        </w:rPr>
        <w:t>（6）对试车、试运转的进行监督，检查并提出处理意见；</w:t>
      </w:r>
    </w:p>
    <w:p>
      <w:pPr>
        <w:adjustRightInd w:val="0"/>
        <w:snapToGrid w:val="0"/>
        <w:spacing w:line="360" w:lineRule="auto"/>
        <w:ind w:firstLine="420" w:firstLineChars="200"/>
        <w:rPr>
          <w:color w:val="auto"/>
          <w:szCs w:val="21"/>
          <w:highlight w:val="none"/>
        </w:rPr>
      </w:pPr>
      <w:r>
        <w:rPr>
          <w:rFonts w:hint="eastAsia"/>
          <w:color w:val="auto"/>
          <w:szCs w:val="21"/>
          <w:highlight w:val="none"/>
        </w:rPr>
        <w:t>（7）其他相关工作。</w:t>
      </w:r>
    </w:p>
    <w:p>
      <w:pPr>
        <w:adjustRightInd w:val="0"/>
        <w:snapToGrid w:val="0"/>
        <w:spacing w:line="360" w:lineRule="auto"/>
        <w:ind w:firstLine="420" w:firstLineChars="200"/>
        <w:rPr>
          <w:color w:val="auto"/>
          <w:szCs w:val="21"/>
          <w:highlight w:val="none"/>
        </w:rPr>
      </w:pPr>
      <w:r>
        <w:rPr>
          <w:rFonts w:hint="eastAsia"/>
          <w:color w:val="auto"/>
          <w:szCs w:val="21"/>
          <w:highlight w:val="none"/>
        </w:rPr>
        <w:t>（8）按照监理规范要求做好平行检测工作。</w:t>
      </w:r>
    </w:p>
    <w:p>
      <w:pPr>
        <w:adjustRightInd w:val="0"/>
        <w:snapToGrid w:val="0"/>
        <w:spacing w:line="360" w:lineRule="auto"/>
        <w:ind w:firstLine="420" w:firstLineChars="200"/>
        <w:rPr>
          <w:color w:val="auto"/>
          <w:szCs w:val="21"/>
          <w:highlight w:val="none"/>
        </w:rPr>
      </w:pPr>
      <w:r>
        <w:rPr>
          <w:rFonts w:hint="eastAsia"/>
          <w:color w:val="auto"/>
          <w:szCs w:val="21"/>
          <w:highlight w:val="none"/>
        </w:rPr>
        <w:t>4、监理人应向委托人提供的信息文件：（一式五份）</w:t>
      </w:r>
    </w:p>
    <w:p>
      <w:pPr>
        <w:adjustRightInd w:val="0"/>
        <w:snapToGrid w:val="0"/>
        <w:spacing w:line="360" w:lineRule="auto"/>
        <w:ind w:firstLine="420" w:firstLineChars="200"/>
        <w:rPr>
          <w:color w:val="auto"/>
          <w:szCs w:val="21"/>
          <w:highlight w:val="none"/>
        </w:rPr>
      </w:pPr>
      <w:r>
        <w:rPr>
          <w:rFonts w:hint="eastAsia"/>
          <w:color w:val="auto"/>
          <w:szCs w:val="21"/>
          <w:highlight w:val="none"/>
        </w:rPr>
        <w:t>（1）定期信息文件</w:t>
      </w:r>
    </w:p>
    <w:p>
      <w:pPr>
        <w:adjustRightInd w:val="0"/>
        <w:snapToGrid w:val="0"/>
        <w:spacing w:line="360" w:lineRule="auto"/>
        <w:ind w:firstLine="420" w:firstLineChars="200"/>
        <w:rPr>
          <w:color w:val="auto"/>
          <w:szCs w:val="21"/>
          <w:highlight w:val="none"/>
        </w:rPr>
      </w:pPr>
      <w:r>
        <w:rPr>
          <w:rFonts w:hint="eastAsia"/>
          <w:color w:val="auto"/>
          <w:szCs w:val="21"/>
          <w:highlight w:val="none"/>
        </w:rPr>
        <w:t>根据监理工程项目、范围及内容，提交监理大纲和监理实施细则，随工程施工进展向委托人报送监理月报，其主要内容为：施工质量、安全生产、文明施工情况（按各专业、各阶段报送，附照片、文字说明。具体控制节点、数量、覆盖率根据发包人要求，图片针对发现问题、落实整改、整改完成具有前后对比性）；原材料质量及检验情况；工程进展情况（按各专业、各阶段报送，附照片、文字说明）；进场施工机械设备及劳动力动态；合同变更和工程变更情况；工程款支付情况；监理工程情况；工程建设大事记等。</w:t>
      </w:r>
    </w:p>
    <w:p>
      <w:pPr>
        <w:adjustRightInd w:val="0"/>
        <w:snapToGrid w:val="0"/>
        <w:spacing w:line="360" w:lineRule="auto"/>
        <w:ind w:firstLine="420" w:firstLineChars="200"/>
        <w:rPr>
          <w:color w:val="auto"/>
          <w:szCs w:val="21"/>
          <w:highlight w:val="none"/>
        </w:rPr>
      </w:pPr>
      <w:r>
        <w:rPr>
          <w:rFonts w:hint="eastAsia"/>
          <w:color w:val="auto"/>
          <w:szCs w:val="21"/>
          <w:highlight w:val="none"/>
        </w:rPr>
        <w:t>（2）根据监理工程进展情况的不定期报告：关于工程优化设计或变更或施工进展的建议；资金资源投入及合理配置的建议；工程进展预测分析报告；委托人合理要求提交的其他报告；工程分阶段验收、竣工验收监理工作报告。</w:t>
      </w:r>
    </w:p>
    <w:p>
      <w:pPr>
        <w:adjustRightInd w:val="0"/>
        <w:snapToGrid w:val="0"/>
        <w:spacing w:line="360" w:lineRule="auto"/>
        <w:ind w:firstLine="420" w:firstLineChars="200"/>
        <w:rPr>
          <w:color w:val="auto"/>
          <w:szCs w:val="21"/>
          <w:highlight w:val="none"/>
        </w:rPr>
      </w:pPr>
      <w:r>
        <w:rPr>
          <w:rFonts w:hint="eastAsia"/>
          <w:color w:val="auto"/>
          <w:szCs w:val="21"/>
          <w:highlight w:val="none"/>
        </w:rPr>
        <w:t>（3）监理过程文件：施工措施计划文件；施工进度调整文件；监理协调会议纪要文件；其他监理业务往来文件；质量事故处理文件。</w:t>
      </w:r>
    </w:p>
    <w:p>
      <w:pPr>
        <w:adjustRightInd w:val="0"/>
        <w:snapToGrid w:val="0"/>
        <w:spacing w:line="360" w:lineRule="auto"/>
        <w:ind w:firstLine="420" w:firstLineChars="200"/>
        <w:rPr>
          <w:color w:val="auto"/>
          <w:szCs w:val="21"/>
          <w:highlight w:val="none"/>
        </w:rPr>
      </w:pPr>
      <w:r>
        <w:rPr>
          <w:rFonts w:hint="eastAsia"/>
          <w:color w:val="auto"/>
          <w:szCs w:val="21"/>
          <w:highlight w:val="none"/>
        </w:rPr>
        <w:t>（4）每月25日前向委托人提供下月度的监理人员出勤计划。</w:t>
      </w:r>
    </w:p>
    <w:p>
      <w:pPr>
        <w:adjustRightInd w:val="0"/>
        <w:snapToGrid w:val="0"/>
        <w:spacing w:line="360" w:lineRule="auto"/>
        <w:ind w:firstLine="420" w:firstLineChars="200"/>
        <w:rPr>
          <w:rFonts w:ascii="宋体" w:hAnsi="宋体"/>
          <w:color w:val="auto"/>
          <w:szCs w:val="21"/>
          <w:highlight w:val="none"/>
        </w:rPr>
      </w:pPr>
      <w:r>
        <w:rPr>
          <w:rFonts w:hint="eastAsia"/>
          <w:color w:val="auto"/>
          <w:szCs w:val="21"/>
          <w:highlight w:val="none"/>
        </w:rPr>
        <w:t>5、</w:t>
      </w:r>
      <w:r>
        <w:rPr>
          <w:rFonts w:hint="eastAsia" w:ascii="宋体" w:hAnsi="宋体"/>
          <w:color w:val="auto"/>
          <w:szCs w:val="21"/>
          <w:highlight w:val="none"/>
        </w:rPr>
        <w:t>委托人要求的其他相关工作</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（1）监理招标结束后，监理人要提前介入本工程的监理服务工作，协助委托人、全过程代建开发单位做好施工开工前的各类准备工作；</w:t>
      </w:r>
    </w:p>
    <w:p>
      <w:pPr>
        <w:adjustRightInd w:val="0"/>
        <w:snapToGrid w:val="0"/>
        <w:spacing w:line="360" w:lineRule="auto"/>
        <w:ind w:firstLine="404" w:firstLineChars="200"/>
        <w:rPr>
          <w:rFonts w:ascii="宋体" w:hAnsi="宋体"/>
          <w:color w:val="auto"/>
          <w:szCs w:val="21"/>
          <w:highlight w:val="none"/>
        </w:rPr>
      </w:pPr>
      <w:r>
        <w:rPr>
          <w:rFonts w:hint="eastAsia" w:ascii="宋体" w:hAnsi="宋体"/>
          <w:color w:val="auto"/>
          <w:spacing w:val="-4"/>
          <w:szCs w:val="21"/>
          <w:highlight w:val="none"/>
        </w:rPr>
        <w:t>（2）</w:t>
      </w:r>
      <w:r>
        <w:rPr>
          <w:rFonts w:hint="eastAsia" w:hAnsi="宋体"/>
          <w:color w:val="auto"/>
          <w:szCs w:val="21"/>
          <w:highlight w:val="none"/>
          <w:shd w:val="clear" w:color="auto" w:fill="FFFFFF"/>
        </w:rPr>
        <w:t>工程建设项目被主管部门列入审查的，监理人须配合委托人完成相关工作。</w:t>
      </w:r>
    </w:p>
    <w:p>
      <w:pPr>
        <w:pageBreakBefore/>
        <w:spacing w:line="360" w:lineRule="auto"/>
        <w:jc w:val="center"/>
        <w:rPr>
          <w:rFonts w:ascii="宋体" w:hAnsi="宋体"/>
          <w:b/>
          <w:bCs/>
          <w:color w:val="auto"/>
          <w:szCs w:val="21"/>
          <w:highlight w:val="none"/>
        </w:rPr>
      </w:pPr>
      <w:r>
        <w:rPr>
          <w:rFonts w:hint="eastAsia" w:ascii="宋体" w:hAnsi="宋体"/>
          <w:b/>
          <w:bCs/>
          <w:color w:val="auto"/>
          <w:szCs w:val="21"/>
          <w:highlight w:val="none"/>
        </w:rPr>
        <w:t>附录B  委托人派遣的人员和提供的房屋、资料、设备</w:t>
      </w:r>
    </w:p>
    <w:p>
      <w:pPr>
        <w:spacing w:beforeLines="50" w:line="360" w:lineRule="auto"/>
        <w:ind w:firstLine="316" w:firstLineChars="150"/>
        <w:rPr>
          <w:rFonts w:ascii="宋体" w:hAnsi="宋体"/>
          <w:b/>
          <w:color w:val="auto"/>
          <w:kern w:val="0"/>
          <w:szCs w:val="21"/>
          <w:highlight w:val="none"/>
        </w:rPr>
      </w:pPr>
      <w:r>
        <w:rPr>
          <w:rFonts w:hint="eastAsia" w:ascii="宋体" w:hAnsi="宋体"/>
          <w:b/>
          <w:color w:val="auto"/>
          <w:kern w:val="0"/>
          <w:szCs w:val="21"/>
          <w:highlight w:val="none"/>
        </w:rPr>
        <w:t>B-1  委托人派遣的人员</w:t>
      </w:r>
    </w:p>
    <w:tbl>
      <w:tblPr>
        <w:tblStyle w:val="18"/>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177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工作要求</w:t>
            </w:r>
          </w:p>
        </w:tc>
        <w:tc>
          <w:tcPr>
            <w:tcW w:w="186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1. 工程技术人员 </w:t>
            </w:r>
          </w:p>
        </w:tc>
        <w:tc>
          <w:tcPr>
            <w:tcW w:w="1770" w:type="dxa"/>
          </w:tcPr>
          <w:p>
            <w:pPr>
              <w:spacing w:line="360" w:lineRule="auto"/>
              <w:rPr>
                <w:rFonts w:ascii="宋体" w:hAnsi="宋体"/>
                <w:color w:val="auto"/>
                <w:szCs w:val="21"/>
                <w:highlight w:val="none"/>
              </w:rPr>
            </w:pPr>
          </w:p>
        </w:tc>
        <w:tc>
          <w:tcPr>
            <w:tcW w:w="2130" w:type="dxa"/>
          </w:tcPr>
          <w:p>
            <w:pPr>
              <w:spacing w:line="360" w:lineRule="auto"/>
              <w:rPr>
                <w:rFonts w:ascii="宋体" w:hAnsi="宋体"/>
                <w:color w:val="auto"/>
                <w:szCs w:val="21"/>
                <w:highlight w:val="none"/>
              </w:rPr>
            </w:pPr>
          </w:p>
        </w:tc>
        <w:tc>
          <w:tcPr>
            <w:tcW w:w="1860"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宋体" w:hAnsi="宋体"/>
                <w:color w:val="auto"/>
                <w:szCs w:val="21"/>
                <w:highlight w:val="none"/>
              </w:rPr>
            </w:pPr>
            <w:r>
              <w:rPr>
                <w:rFonts w:hint="eastAsia" w:ascii="宋体" w:hAnsi="宋体"/>
                <w:color w:val="auto"/>
                <w:szCs w:val="21"/>
                <w:highlight w:val="none"/>
              </w:rPr>
              <w:t>2. 辅助工作人员</w:t>
            </w:r>
          </w:p>
        </w:tc>
        <w:tc>
          <w:tcPr>
            <w:tcW w:w="1770" w:type="dxa"/>
          </w:tcPr>
          <w:p>
            <w:pPr>
              <w:spacing w:line="360" w:lineRule="auto"/>
              <w:rPr>
                <w:rFonts w:ascii="宋体" w:hAnsi="宋体"/>
                <w:color w:val="auto"/>
                <w:szCs w:val="21"/>
                <w:highlight w:val="none"/>
              </w:rPr>
            </w:pPr>
          </w:p>
        </w:tc>
        <w:tc>
          <w:tcPr>
            <w:tcW w:w="2130" w:type="dxa"/>
          </w:tcPr>
          <w:p>
            <w:pPr>
              <w:spacing w:line="360" w:lineRule="auto"/>
              <w:rPr>
                <w:rFonts w:ascii="宋体" w:hAnsi="宋体"/>
                <w:color w:val="auto"/>
                <w:szCs w:val="21"/>
                <w:highlight w:val="none"/>
              </w:rPr>
            </w:pPr>
          </w:p>
        </w:tc>
        <w:tc>
          <w:tcPr>
            <w:tcW w:w="1860"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8" w:type="dxa"/>
          </w:tcPr>
          <w:p>
            <w:pPr>
              <w:spacing w:line="360" w:lineRule="auto"/>
              <w:rPr>
                <w:rFonts w:ascii="宋体" w:hAnsi="宋体"/>
                <w:color w:val="auto"/>
                <w:szCs w:val="21"/>
                <w:highlight w:val="none"/>
              </w:rPr>
            </w:pPr>
            <w:r>
              <w:rPr>
                <w:rFonts w:hint="eastAsia" w:ascii="宋体" w:hAnsi="宋体"/>
                <w:color w:val="auto"/>
                <w:szCs w:val="21"/>
                <w:highlight w:val="none"/>
              </w:rPr>
              <w:t>3. 其他人员</w:t>
            </w:r>
          </w:p>
        </w:tc>
        <w:tc>
          <w:tcPr>
            <w:tcW w:w="1770" w:type="dxa"/>
          </w:tcPr>
          <w:p>
            <w:pPr>
              <w:spacing w:line="360" w:lineRule="auto"/>
              <w:rPr>
                <w:rFonts w:ascii="宋体" w:hAnsi="宋体"/>
                <w:color w:val="auto"/>
                <w:szCs w:val="21"/>
                <w:highlight w:val="none"/>
              </w:rPr>
            </w:pPr>
          </w:p>
        </w:tc>
        <w:tc>
          <w:tcPr>
            <w:tcW w:w="2130" w:type="dxa"/>
          </w:tcPr>
          <w:p>
            <w:pPr>
              <w:spacing w:line="360" w:lineRule="auto"/>
              <w:rPr>
                <w:rFonts w:ascii="宋体" w:hAnsi="宋体"/>
                <w:color w:val="auto"/>
                <w:szCs w:val="21"/>
                <w:highlight w:val="none"/>
              </w:rPr>
            </w:pPr>
          </w:p>
        </w:tc>
        <w:tc>
          <w:tcPr>
            <w:tcW w:w="1860" w:type="dxa"/>
          </w:tcPr>
          <w:p>
            <w:pPr>
              <w:spacing w:line="360" w:lineRule="auto"/>
              <w:rPr>
                <w:rFonts w:ascii="宋体" w:hAnsi="宋体"/>
                <w:color w:val="auto"/>
                <w:szCs w:val="21"/>
                <w:highlight w:val="none"/>
              </w:rPr>
            </w:pPr>
          </w:p>
        </w:tc>
      </w:tr>
    </w:tbl>
    <w:p>
      <w:pPr>
        <w:spacing w:beforeLines="50" w:line="360" w:lineRule="auto"/>
        <w:ind w:firstLine="316" w:firstLineChars="150"/>
        <w:outlineLvl w:val="0"/>
        <w:rPr>
          <w:rFonts w:ascii="宋体" w:hAnsi="宋体"/>
          <w:b/>
          <w:color w:val="auto"/>
          <w:kern w:val="0"/>
          <w:szCs w:val="21"/>
          <w:highlight w:val="none"/>
        </w:rPr>
      </w:pPr>
      <w:r>
        <w:rPr>
          <w:rFonts w:hint="eastAsia" w:ascii="宋体" w:hAnsi="宋体"/>
          <w:b/>
          <w:color w:val="auto"/>
          <w:kern w:val="0"/>
          <w:szCs w:val="21"/>
          <w:highlight w:val="none"/>
        </w:rPr>
        <w:t>B-2  委托人提供的房屋</w:t>
      </w:r>
    </w:p>
    <w:tbl>
      <w:tblPr>
        <w:tblStyle w:val="18"/>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13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面积</w:t>
            </w:r>
          </w:p>
        </w:tc>
        <w:tc>
          <w:tcPr>
            <w:tcW w:w="186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委托人提供的办公室</w:t>
            </w:r>
          </w:p>
        </w:tc>
        <w:tc>
          <w:tcPr>
            <w:tcW w:w="2130" w:type="dxa"/>
          </w:tcPr>
          <w:p>
            <w:pPr>
              <w:spacing w:line="360" w:lineRule="auto"/>
              <w:jc w:val="center"/>
              <w:rPr>
                <w:rFonts w:ascii="宋体" w:hAnsi="宋体"/>
                <w:color w:val="auto"/>
                <w:szCs w:val="21"/>
                <w:highlight w:val="none"/>
              </w:rPr>
            </w:pPr>
          </w:p>
        </w:tc>
        <w:tc>
          <w:tcPr>
            <w:tcW w:w="2130" w:type="dxa"/>
          </w:tcPr>
          <w:p>
            <w:pPr>
              <w:spacing w:line="360" w:lineRule="auto"/>
              <w:jc w:val="center"/>
              <w:rPr>
                <w:rFonts w:ascii="宋体" w:hAnsi="宋体"/>
                <w:color w:val="auto"/>
                <w:szCs w:val="21"/>
                <w:highlight w:val="none"/>
              </w:rPr>
            </w:pPr>
          </w:p>
        </w:tc>
        <w:tc>
          <w:tcPr>
            <w:tcW w:w="186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开工前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color w:val="auto"/>
                <w:szCs w:val="21"/>
                <w:highlight w:val="none"/>
              </w:rPr>
            </w:pPr>
            <w:r>
              <w:rPr>
                <w:rFonts w:hint="eastAsia" w:ascii="宋体" w:hAnsi="宋体"/>
                <w:color w:val="auto"/>
                <w:szCs w:val="21"/>
                <w:highlight w:val="none"/>
              </w:rPr>
              <w:t>用餐及其他生活条件</w:t>
            </w:r>
          </w:p>
        </w:tc>
        <w:tc>
          <w:tcPr>
            <w:tcW w:w="6120"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监理人自行解决</w:t>
            </w:r>
          </w:p>
        </w:tc>
      </w:tr>
    </w:tbl>
    <w:p>
      <w:pPr>
        <w:spacing w:beforeLines="50" w:line="360" w:lineRule="auto"/>
        <w:ind w:firstLine="316" w:firstLineChars="150"/>
        <w:outlineLvl w:val="0"/>
        <w:rPr>
          <w:rFonts w:ascii="宋体" w:hAnsi="宋体"/>
          <w:b/>
          <w:color w:val="auto"/>
          <w:kern w:val="0"/>
          <w:szCs w:val="21"/>
          <w:highlight w:val="none"/>
        </w:rPr>
      </w:pPr>
      <w:r>
        <w:rPr>
          <w:rFonts w:hint="eastAsia" w:ascii="宋体" w:hAnsi="宋体"/>
          <w:b/>
          <w:color w:val="auto"/>
          <w:kern w:val="0"/>
          <w:szCs w:val="21"/>
          <w:highlight w:val="none"/>
        </w:rPr>
        <w:t>B-3  委托人提供的资料</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176"/>
        <w:gridCol w:w="2694"/>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名称</w:t>
            </w:r>
          </w:p>
        </w:tc>
        <w:tc>
          <w:tcPr>
            <w:tcW w:w="1176"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份数</w:t>
            </w:r>
          </w:p>
        </w:tc>
        <w:tc>
          <w:tcPr>
            <w:tcW w:w="2694"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提供时间</w:t>
            </w:r>
          </w:p>
        </w:tc>
        <w:tc>
          <w:tcPr>
            <w:tcW w:w="1850" w:type="dxa"/>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rPr>
                <w:rFonts w:ascii="宋体" w:hAnsi="宋体"/>
                <w:color w:val="auto"/>
                <w:kern w:val="0"/>
                <w:szCs w:val="21"/>
                <w:highlight w:val="none"/>
              </w:rPr>
            </w:pPr>
            <w:r>
              <w:rPr>
                <w:rFonts w:hint="eastAsia" w:ascii="宋体" w:hAnsi="宋体"/>
                <w:color w:val="auto"/>
                <w:kern w:val="0"/>
                <w:szCs w:val="21"/>
                <w:highlight w:val="none"/>
              </w:rPr>
              <w:t>1. 工程立项文件</w:t>
            </w:r>
          </w:p>
        </w:tc>
        <w:tc>
          <w:tcPr>
            <w:tcW w:w="1176"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694" w:type="dxa"/>
            <w:vAlign w:val="center"/>
          </w:tcPr>
          <w:p>
            <w:pPr>
              <w:rPr>
                <w:rFonts w:ascii="宋体" w:hAnsi="宋体"/>
                <w:color w:val="auto"/>
                <w:kern w:val="0"/>
                <w:szCs w:val="21"/>
                <w:highlight w:val="none"/>
              </w:rPr>
            </w:pPr>
            <w:r>
              <w:rPr>
                <w:rFonts w:ascii="宋体" w:hAnsi="宋体"/>
                <w:color w:val="auto"/>
                <w:kern w:val="0"/>
                <w:szCs w:val="21"/>
                <w:highlight w:val="none"/>
              </w:rPr>
              <w:t>合同签订后7天内</w:t>
            </w:r>
          </w:p>
        </w:tc>
        <w:tc>
          <w:tcPr>
            <w:tcW w:w="1850" w:type="dxa"/>
            <w:vAlign w:val="center"/>
          </w:tcPr>
          <w:p>
            <w:pP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rPr>
                <w:rFonts w:ascii="宋体" w:hAnsi="宋体"/>
                <w:color w:val="auto"/>
                <w:kern w:val="0"/>
                <w:szCs w:val="21"/>
                <w:highlight w:val="none"/>
              </w:rPr>
            </w:pPr>
            <w:r>
              <w:rPr>
                <w:rFonts w:hint="eastAsia" w:ascii="宋体" w:hAnsi="宋体"/>
                <w:color w:val="auto"/>
                <w:kern w:val="0"/>
                <w:szCs w:val="21"/>
                <w:highlight w:val="none"/>
              </w:rPr>
              <w:t>2. 工程勘察文件</w:t>
            </w:r>
          </w:p>
        </w:tc>
        <w:tc>
          <w:tcPr>
            <w:tcW w:w="1176"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694" w:type="dxa"/>
            <w:vAlign w:val="center"/>
          </w:tcPr>
          <w:p>
            <w:pPr>
              <w:rPr>
                <w:rFonts w:ascii="宋体" w:hAnsi="宋体"/>
                <w:color w:val="auto"/>
                <w:kern w:val="0"/>
                <w:szCs w:val="21"/>
                <w:highlight w:val="none"/>
              </w:rPr>
            </w:pPr>
            <w:r>
              <w:rPr>
                <w:rFonts w:ascii="宋体" w:hAnsi="宋体"/>
                <w:color w:val="auto"/>
                <w:kern w:val="0"/>
                <w:szCs w:val="21"/>
                <w:highlight w:val="none"/>
              </w:rPr>
              <w:t>合同签订后7天内</w:t>
            </w:r>
          </w:p>
        </w:tc>
        <w:tc>
          <w:tcPr>
            <w:tcW w:w="1850" w:type="dxa"/>
            <w:vAlign w:val="center"/>
          </w:tcPr>
          <w:p>
            <w:pP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2" w:type="dxa"/>
            <w:vAlign w:val="center"/>
          </w:tcPr>
          <w:p>
            <w:pPr>
              <w:rPr>
                <w:rFonts w:ascii="宋体" w:hAnsi="宋体"/>
                <w:color w:val="auto"/>
                <w:kern w:val="0"/>
                <w:szCs w:val="21"/>
                <w:highlight w:val="none"/>
              </w:rPr>
            </w:pPr>
            <w:r>
              <w:rPr>
                <w:rFonts w:hint="eastAsia" w:ascii="宋体" w:hAnsi="宋体"/>
                <w:color w:val="auto"/>
                <w:kern w:val="0"/>
                <w:szCs w:val="21"/>
                <w:highlight w:val="none"/>
              </w:rPr>
              <w:t>3. 工程设计及施工图纸</w:t>
            </w:r>
          </w:p>
        </w:tc>
        <w:tc>
          <w:tcPr>
            <w:tcW w:w="1176"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694" w:type="dxa"/>
            <w:vAlign w:val="center"/>
          </w:tcPr>
          <w:p>
            <w:pPr>
              <w:rPr>
                <w:rFonts w:ascii="宋体" w:hAnsi="宋体"/>
                <w:color w:val="auto"/>
                <w:kern w:val="0"/>
                <w:szCs w:val="21"/>
                <w:highlight w:val="none"/>
              </w:rPr>
            </w:pPr>
            <w:r>
              <w:rPr>
                <w:rFonts w:hint="eastAsia" w:ascii="宋体" w:hAnsi="宋体"/>
                <w:color w:val="auto"/>
                <w:kern w:val="0"/>
                <w:szCs w:val="21"/>
                <w:highlight w:val="none"/>
              </w:rPr>
              <w:t>工程设计及施工图纸出具</w:t>
            </w:r>
            <w:r>
              <w:rPr>
                <w:rFonts w:ascii="宋体" w:hAnsi="宋体"/>
                <w:color w:val="auto"/>
                <w:kern w:val="0"/>
                <w:szCs w:val="21"/>
                <w:highlight w:val="none"/>
              </w:rPr>
              <w:t>后7天内</w:t>
            </w:r>
          </w:p>
        </w:tc>
        <w:tc>
          <w:tcPr>
            <w:tcW w:w="1850" w:type="dxa"/>
            <w:vAlign w:val="center"/>
          </w:tcPr>
          <w:p>
            <w:pP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rPr>
                <w:rFonts w:ascii="宋体" w:hAnsi="宋体"/>
                <w:color w:val="auto"/>
                <w:kern w:val="0"/>
                <w:szCs w:val="21"/>
                <w:highlight w:val="none"/>
              </w:rPr>
            </w:pPr>
            <w:r>
              <w:rPr>
                <w:rFonts w:hint="eastAsia" w:ascii="宋体" w:hAnsi="宋体"/>
                <w:color w:val="auto"/>
                <w:kern w:val="0"/>
                <w:szCs w:val="21"/>
                <w:highlight w:val="none"/>
              </w:rPr>
              <w:t>4. 工程承包合同及其他相关合同</w:t>
            </w:r>
          </w:p>
        </w:tc>
        <w:tc>
          <w:tcPr>
            <w:tcW w:w="1176"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694" w:type="dxa"/>
            <w:vAlign w:val="center"/>
          </w:tcPr>
          <w:p>
            <w:pPr>
              <w:rPr>
                <w:rFonts w:ascii="宋体" w:hAnsi="宋体"/>
                <w:color w:val="auto"/>
                <w:kern w:val="0"/>
                <w:szCs w:val="21"/>
                <w:highlight w:val="none"/>
              </w:rPr>
            </w:pPr>
            <w:r>
              <w:rPr>
                <w:rFonts w:hint="eastAsia" w:ascii="宋体" w:hAnsi="宋体"/>
                <w:color w:val="auto"/>
                <w:kern w:val="0"/>
                <w:szCs w:val="21"/>
                <w:highlight w:val="none"/>
              </w:rPr>
              <w:t>工程承包</w:t>
            </w:r>
            <w:r>
              <w:rPr>
                <w:rFonts w:ascii="宋体" w:hAnsi="宋体"/>
                <w:color w:val="auto"/>
                <w:kern w:val="0"/>
                <w:szCs w:val="21"/>
                <w:highlight w:val="none"/>
              </w:rPr>
              <w:t>合同签订后7天内</w:t>
            </w:r>
          </w:p>
        </w:tc>
        <w:tc>
          <w:tcPr>
            <w:tcW w:w="1850" w:type="dxa"/>
            <w:vAlign w:val="center"/>
          </w:tcPr>
          <w:p>
            <w:pP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rPr>
                <w:rFonts w:ascii="宋体" w:hAnsi="宋体"/>
                <w:color w:val="auto"/>
                <w:kern w:val="0"/>
                <w:szCs w:val="21"/>
                <w:highlight w:val="none"/>
              </w:rPr>
            </w:pPr>
            <w:r>
              <w:rPr>
                <w:rFonts w:hint="eastAsia" w:ascii="宋体" w:hAnsi="宋体"/>
                <w:color w:val="auto"/>
                <w:kern w:val="0"/>
                <w:szCs w:val="21"/>
                <w:highlight w:val="none"/>
              </w:rPr>
              <w:t>5. 其他文件</w:t>
            </w:r>
          </w:p>
        </w:tc>
        <w:tc>
          <w:tcPr>
            <w:tcW w:w="1176"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694" w:type="dxa"/>
            <w:vAlign w:val="center"/>
          </w:tcPr>
          <w:p>
            <w:pPr>
              <w:rPr>
                <w:rFonts w:ascii="宋体" w:hAnsi="宋体"/>
                <w:color w:val="auto"/>
                <w:kern w:val="0"/>
                <w:szCs w:val="21"/>
                <w:highlight w:val="none"/>
              </w:rPr>
            </w:pPr>
            <w:r>
              <w:rPr>
                <w:rFonts w:hint="eastAsia" w:ascii="宋体" w:hAnsi="宋体"/>
                <w:color w:val="auto"/>
                <w:kern w:val="0"/>
                <w:szCs w:val="21"/>
                <w:highlight w:val="none"/>
              </w:rPr>
              <w:t>及时</w:t>
            </w:r>
            <w:r>
              <w:rPr>
                <w:rFonts w:ascii="宋体" w:hAnsi="宋体"/>
                <w:color w:val="auto"/>
                <w:kern w:val="0"/>
                <w:szCs w:val="21"/>
                <w:highlight w:val="none"/>
              </w:rPr>
              <w:t>提供</w:t>
            </w:r>
          </w:p>
        </w:tc>
        <w:tc>
          <w:tcPr>
            <w:tcW w:w="1850" w:type="dxa"/>
            <w:vAlign w:val="center"/>
          </w:tcPr>
          <w:p>
            <w:pPr>
              <w:rPr>
                <w:rFonts w:ascii="宋体" w:hAnsi="宋体"/>
                <w:color w:val="auto"/>
                <w:kern w:val="0"/>
                <w:szCs w:val="21"/>
                <w:highlight w:val="none"/>
              </w:rPr>
            </w:pPr>
          </w:p>
        </w:tc>
      </w:tr>
    </w:tbl>
    <w:p>
      <w:pPr>
        <w:spacing w:beforeLines="50" w:line="360" w:lineRule="auto"/>
        <w:ind w:firstLine="316" w:firstLineChars="150"/>
        <w:rPr>
          <w:rFonts w:ascii="宋体" w:hAnsi="宋体"/>
          <w:b/>
          <w:color w:val="auto"/>
          <w:kern w:val="0"/>
          <w:szCs w:val="21"/>
          <w:highlight w:val="none"/>
        </w:rPr>
      </w:pPr>
      <w:r>
        <w:rPr>
          <w:rFonts w:hint="eastAsia" w:ascii="宋体" w:hAnsi="宋体"/>
          <w:b/>
          <w:color w:val="auto"/>
          <w:kern w:val="0"/>
          <w:szCs w:val="21"/>
          <w:highlight w:val="none"/>
        </w:rPr>
        <w:t>注：委托人</w:t>
      </w:r>
      <w:r>
        <w:rPr>
          <w:rFonts w:ascii="宋体" w:hAnsi="宋体"/>
          <w:b/>
          <w:color w:val="auto"/>
          <w:kern w:val="0"/>
          <w:szCs w:val="21"/>
          <w:highlight w:val="none"/>
        </w:rPr>
        <w:t>应提供上述已签合同或协议和已有资料的原件或复印件；待签合同、后续资料(包括施工过程中发生的所有联系单、签证、纪要、来往文件等)应及时提供，以满足监理机构工作需要。</w:t>
      </w:r>
    </w:p>
    <w:p>
      <w:pPr>
        <w:spacing w:beforeLines="50" w:line="360" w:lineRule="auto"/>
        <w:ind w:firstLine="316" w:firstLineChars="150"/>
        <w:rPr>
          <w:rFonts w:ascii="宋体" w:hAnsi="宋体"/>
          <w:b/>
          <w:color w:val="auto"/>
          <w:kern w:val="0"/>
          <w:szCs w:val="21"/>
          <w:highlight w:val="none"/>
        </w:rPr>
      </w:pPr>
      <w:r>
        <w:rPr>
          <w:rFonts w:hint="eastAsia" w:ascii="宋体" w:hAnsi="宋体"/>
          <w:b/>
          <w:color w:val="auto"/>
          <w:kern w:val="0"/>
          <w:szCs w:val="21"/>
          <w:highlight w:val="none"/>
        </w:rPr>
        <w:t>B-4 委托人提供的设备</w:t>
      </w:r>
    </w:p>
    <w:tbl>
      <w:tblPr>
        <w:tblStyle w:val="18"/>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159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型号与规格</w:t>
            </w:r>
          </w:p>
        </w:tc>
        <w:tc>
          <w:tcPr>
            <w:tcW w:w="1860"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color w:val="auto"/>
                <w:szCs w:val="21"/>
                <w:highlight w:val="none"/>
              </w:rPr>
            </w:pPr>
            <w:r>
              <w:rPr>
                <w:rFonts w:hint="eastAsia" w:ascii="宋体" w:hAnsi="宋体"/>
                <w:color w:val="auto"/>
                <w:szCs w:val="21"/>
                <w:highlight w:val="none"/>
              </w:rPr>
              <w:t>1. 通讯设备</w:t>
            </w:r>
          </w:p>
        </w:tc>
        <w:tc>
          <w:tcPr>
            <w:tcW w:w="5580"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监理人自行解决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color w:val="auto"/>
                <w:szCs w:val="21"/>
                <w:highlight w:val="none"/>
              </w:rPr>
            </w:pPr>
            <w:r>
              <w:rPr>
                <w:rFonts w:hint="eastAsia" w:ascii="宋体" w:hAnsi="宋体"/>
                <w:color w:val="auto"/>
                <w:szCs w:val="21"/>
                <w:highlight w:val="none"/>
              </w:rPr>
              <w:t>2. 办公设备</w:t>
            </w:r>
          </w:p>
        </w:tc>
        <w:tc>
          <w:tcPr>
            <w:tcW w:w="5580"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监理人自行解决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88" w:type="dxa"/>
          </w:tcPr>
          <w:p>
            <w:pPr>
              <w:spacing w:line="360" w:lineRule="auto"/>
              <w:rPr>
                <w:rFonts w:ascii="宋体" w:hAnsi="宋体"/>
                <w:color w:val="auto"/>
                <w:szCs w:val="21"/>
                <w:highlight w:val="none"/>
              </w:rPr>
            </w:pPr>
            <w:r>
              <w:rPr>
                <w:rFonts w:hint="eastAsia" w:ascii="宋体" w:hAnsi="宋体"/>
                <w:color w:val="auto"/>
                <w:szCs w:val="21"/>
                <w:highlight w:val="none"/>
              </w:rPr>
              <w:t>3. 交通工具</w:t>
            </w:r>
          </w:p>
        </w:tc>
        <w:tc>
          <w:tcPr>
            <w:tcW w:w="5580"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监理人自行解决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color w:val="auto"/>
                <w:szCs w:val="21"/>
                <w:highlight w:val="none"/>
              </w:rPr>
            </w:pPr>
            <w:r>
              <w:rPr>
                <w:rFonts w:hint="eastAsia" w:ascii="宋体" w:hAnsi="宋体"/>
                <w:color w:val="auto"/>
                <w:szCs w:val="21"/>
                <w:highlight w:val="none"/>
              </w:rPr>
              <w:t>4. 检测和试验设备</w:t>
            </w:r>
          </w:p>
        </w:tc>
        <w:tc>
          <w:tcPr>
            <w:tcW w:w="5580"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监理人自行解决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color w:val="auto"/>
                <w:szCs w:val="21"/>
                <w:highlight w:val="none"/>
              </w:rPr>
            </w:pPr>
            <w:r>
              <w:rPr>
                <w:rFonts w:hint="eastAsia" w:ascii="宋体" w:hAnsi="宋体"/>
                <w:color w:val="auto"/>
                <w:szCs w:val="21"/>
                <w:highlight w:val="none"/>
              </w:rPr>
              <w:t>5.其他设备</w:t>
            </w:r>
          </w:p>
        </w:tc>
        <w:tc>
          <w:tcPr>
            <w:tcW w:w="5580"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监理人自行解决</w:t>
            </w:r>
          </w:p>
        </w:tc>
      </w:tr>
    </w:tbl>
    <w:p>
      <w:pPr>
        <w:spacing w:line="360" w:lineRule="auto"/>
        <w:jc w:val="center"/>
        <w:rPr>
          <w:b/>
          <w:color w:val="auto"/>
          <w:sz w:val="44"/>
          <w:szCs w:val="44"/>
          <w:highlight w:val="none"/>
        </w:rPr>
      </w:pPr>
    </w:p>
    <w:p>
      <w:pPr>
        <w:spacing w:line="360" w:lineRule="auto"/>
        <w:jc w:val="center"/>
        <w:rPr>
          <w:b/>
          <w:color w:val="auto"/>
          <w:sz w:val="32"/>
          <w:szCs w:val="32"/>
          <w:highlight w:val="none"/>
        </w:rPr>
      </w:pPr>
      <w:r>
        <w:rPr>
          <w:rFonts w:hint="eastAsia"/>
          <w:b/>
          <w:color w:val="auto"/>
          <w:sz w:val="32"/>
          <w:szCs w:val="32"/>
          <w:highlight w:val="none"/>
        </w:rPr>
        <w:t>廉 政 合 同</w:t>
      </w:r>
    </w:p>
    <w:p>
      <w:pPr>
        <w:spacing w:line="360" w:lineRule="auto"/>
        <w:ind w:firstLine="570"/>
        <w:rPr>
          <w:rFonts w:ascii="宋体" w:hAnsi="宋体"/>
          <w:color w:val="auto"/>
          <w:szCs w:val="21"/>
          <w:highlight w:val="none"/>
        </w:rPr>
      </w:pPr>
    </w:p>
    <w:p>
      <w:pPr>
        <w:spacing w:line="360" w:lineRule="auto"/>
        <w:ind w:firstLine="570"/>
        <w:rPr>
          <w:rFonts w:ascii="宋体" w:hAnsi="宋体"/>
          <w:color w:val="auto"/>
          <w:szCs w:val="21"/>
          <w:highlight w:val="none"/>
        </w:rPr>
      </w:pPr>
      <w:r>
        <w:rPr>
          <w:rFonts w:hint="eastAsia" w:ascii="宋体" w:hAnsi="宋体"/>
          <w:color w:val="auto"/>
          <w:szCs w:val="21"/>
          <w:highlight w:val="none"/>
        </w:rPr>
        <w:t>根据有关工程建设、廉政建设的规定，为做好工程建设中的党风廉政建设，保证工程建设高效优质，保证建设资金的安全和有效使用以及投资效益，</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（以下简称“甲方”）与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（以下简称“乙方”），特订立如下合同。</w:t>
      </w:r>
    </w:p>
    <w:p>
      <w:pPr>
        <w:spacing w:line="360" w:lineRule="auto"/>
        <w:ind w:firstLine="570"/>
        <w:rPr>
          <w:rFonts w:ascii="宋体" w:hAnsi="宋体"/>
          <w:color w:val="auto"/>
          <w:szCs w:val="21"/>
          <w:highlight w:val="none"/>
        </w:rPr>
      </w:pPr>
      <w:r>
        <w:rPr>
          <w:rFonts w:hint="eastAsia" w:ascii="宋体" w:hAnsi="宋体"/>
          <w:color w:val="auto"/>
          <w:szCs w:val="21"/>
          <w:highlight w:val="none"/>
        </w:rPr>
        <w:t>一、甲乙双方的权利和义务</w:t>
      </w:r>
    </w:p>
    <w:p>
      <w:pPr>
        <w:spacing w:line="360" w:lineRule="auto"/>
        <w:ind w:firstLine="570"/>
        <w:rPr>
          <w:rFonts w:ascii="宋体" w:hAnsi="宋体"/>
          <w:color w:val="auto"/>
          <w:szCs w:val="21"/>
          <w:highlight w:val="none"/>
        </w:rPr>
      </w:pPr>
      <w:r>
        <w:rPr>
          <w:rFonts w:hint="eastAsia" w:ascii="宋体" w:hAnsi="宋体"/>
          <w:color w:val="auto"/>
          <w:szCs w:val="21"/>
          <w:highlight w:val="none"/>
        </w:rPr>
        <w:t>1．严格遵守党的政策规定和国家法律法规及有关规定。</w:t>
      </w:r>
    </w:p>
    <w:p>
      <w:pPr>
        <w:spacing w:line="360" w:lineRule="auto"/>
        <w:ind w:firstLine="570"/>
        <w:rPr>
          <w:rFonts w:ascii="宋体" w:hAnsi="宋体"/>
          <w:color w:val="auto"/>
          <w:szCs w:val="21"/>
          <w:highlight w:val="none"/>
        </w:rPr>
      </w:pPr>
      <w:r>
        <w:rPr>
          <w:rFonts w:hint="eastAsia" w:ascii="宋体" w:hAnsi="宋体"/>
          <w:color w:val="auto"/>
          <w:szCs w:val="21"/>
          <w:highlight w:val="none"/>
        </w:rPr>
        <w:t>2．严格执行</w:t>
      </w:r>
      <w:r>
        <w:rPr>
          <w:rFonts w:hint="eastAsia" w:ascii="宋体" w:hAnsi="宋体"/>
          <w:color w:val="auto"/>
          <w:szCs w:val="21"/>
          <w:highlight w:val="none"/>
          <w:u w:val="single"/>
        </w:rPr>
        <w:t xml:space="preserve">            </w:t>
      </w:r>
      <w:r>
        <w:rPr>
          <w:rFonts w:hint="eastAsia" w:ascii="宋体" w:hAnsi="宋体"/>
          <w:color w:val="auto"/>
          <w:szCs w:val="21"/>
          <w:highlight w:val="none"/>
        </w:rPr>
        <w:t>工程的合同文件，自觉按合同办事。</w:t>
      </w:r>
    </w:p>
    <w:p>
      <w:pPr>
        <w:spacing w:line="360" w:lineRule="auto"/>
        <w:ind w:firstLine="57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57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57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570"/>
        <w:rPr>
          <w:rFonts w:ascii="宋体" w:hAnsi="宋体"/>
          <w:color w:val="auto"/>
          <w:szCs w:val="21"/>
          <w:highlight w:val="none"/>
        </w:rPr>
      </w:pPr>
      <w:r>
        <w:rPr>
          <w:rFonts w:hint="eastAsia" w:ascii="宋体" w:hAnsi="宋体"/>
          <w:color w:val="auto"/>
          <w:szCs w:val="21"/>
          <w:highlight w:val="none"/>
        </w:rPr>
        <w:t>6．发现对方严重违反本合同义务条款的行为，有向其上级有关部门举报、建议给予处理并要求告知处理结果的权利。</w:t>
      </w:r>
    </w:p>
    <w:p>
      <w:pPr>
        <w:spacing w:line="360" w:lineRule="auto"/>
        <w:ind w:firstLine="570"/>
        <w:rPr>
          <w:rFonts w:ascii="宋体" w:hAnsi="宋体"/>
          <w:color w:val="auto"/>
          <w:szCs w:val="21"/>
          <w:highlight w:val="none"/>
        </w:rPr>
      </w:pPr>
      <w:r>
        <w:rPr>
          <w:rFonts w:hint="eastAsia" w:ascii="宋体" w:hAnsi="宋体"/>
          <w:color w:val="auto"/>
          <w:szCs w:val="21"/>
          <w:highlight w:val="none"/>
        </w:rPr>
        <w:t>二、甲方的义务</w:t>
      </w:r>
    </w:p>
    <w:p>
      <w:pPr>
        <w:spacing w:line="360" w:lineRule="auto"/>
        <w:ind w:firstLine="570"/>
        <w:rPr>
          <w:rFonts w:ascii="宋体" w:hAnsi="宋体"/>
          <w:color w:val="auto"/>
          <w:szCs w:val="21"/>
          <w:highlight w:val="none"/>
        </w:rPr>
      </w:pPr>
      <w:r>
        <w:rPr>
          <w:rFonts w:hint="eastAsia" w:ascii="宋体" w:hAnsi="宋体"/>
          <w:color w:val="auto"/>
          <w:szCs w:val="21"/>
          <w:highlight w:val="none"/>
        </w:rPr>
        <w:t>1．甲方及其工作人员不得索要或接受乙方的礼金、有价证券和贵重物品，不得在乙方报销任何应由甲方或甲方工作人员个人支付的费用等。</w:t>
      </w:r>
    </w:p>
    <w:p>
      <w:pPr>
        <w:spacing w:line="360" w:lineRule="auto"/>
        <w:ind w:firstLine="570"/>
        <w:rPr>
          <w:rFonts w:ascii="宋体" w:hAnsi="宋体"/>
          <w:color w:val="auto"/>
          <w:szCs w:val="21"/>
          <w:highlight w:val="none"/>
        </w:rPr>
      </w:pPr>
      <w:r>
        <w:rPr>
          <w:rFonts w:hint="eastAsia" w:ascii="宋体" w:hAnsi="宋体"/>
          <w:color w:val="auto"/>
          <w:szCs w:val="21"/>
          <w:highlight w:val="none"/>
        </w:rPr>
        <w:t>2．甲方工作人员不得参加乙方安排的超标准宴请和娱乐活动；不得接受乙方提供的通讯工具、交通工具和高档办公用品等。</w:t>
      </w:r>
    </w:p>
    <w:p>
      <w:pPr>
        <w:spacing w:line="360" w:lineRule="auto"/>
        <w:ind w:firstLine="570"/>
        <w:rPr>
          <w:rFonts w:ascii="宋体" w:hAnsi="宋体"/>
          <w:color w:val="auto"/>
          <w:szCs w:val="21"/>
          <w:highlight w:val="none"/>
        </w:rPr>
      </w:pPr>
      <w:r>
        <w:rPr>
          <w:rFonts w:hint="eastAsia" w:ascii="宋体" w:hAnsi="宋体"/>
          <w:color w:val="auto"/>
          <w:szCs w:val="21"/>
          <w:highlight w:val="none"/>
        </w:rPr>
        <w:t>3．甲方及其工作人员不得要求或者接受乙方为其住房装修、婚丧嫁娶活动、配偶子女的工作安排以及出国出境、施游等提供方便等。</w:t>
      </w:r>
    </w:p>
    <w:p>
      <w:pPr>
        <w:spacing w:line="360" w:lineRule="auto"/>
        <w:ind w:firstLine="570"/>
        <w:rPr>
          <w:rFonts w:ascii="宋体" w:hAnsi="宋体"/>
          <w:color w:val="auto"/>
          <w:szCs w:val="21"/>
          <w:highlight w:val="none"/>
        </w:rPr>
      </w:pPr>
      <w:r>
        <w:rPr>
          <w:rFonts w:hint="eastAsia" w:ascii="宋体" w:hAnsi="宋体"/>
          <w:color w:val="auto"/>
          <w:szCs w:val="21"/>
          <w:highlight w:val="none"/>
        </w:rPr>
        <w:t>4．甲方工作人员及其配偶、子女不得从事与甲方工程有关的材料设备供应、工程分包、劳务等经济活动等。</w:t>
      </w:r>
    </w:p>
    <w:p>
      <w:pPr>
        <w:spacing w:line="360" w:lineRule="auto"/>
        <w:ind w:firstLine="570"/>
        <w:rPr>
          <w:rFonts w:ascii="宋体" w:hAnsi="宋体"/>
          <w:color w:val="auto"/>
          <w:szCs w:val="21"/>
          <w:highlight w:val="none"/>
        </w:rPr>
      </w:pPr>
      <w:r>
        <w:rPr>
          <w:rFonts w:hint="eastAsia" w:ascii="宋体" w:hAnsi="宋体"/>
          <w:color w:val="auto"/>
          <w:szCs w:val="21"/>
          <w:highlight w:val="none"/>
        </w:rPr>
        <w:t>5．甲方及其工作人员不得以任何理由向乙方推荐分包推销材料，不得要求乙方购买合同规定外的材料和设备。</w:t>
      </w:r>
    </w:p>
    <w:p>
      <w:pPr>
        <w:spacing w:line="360" w:lineRule="auto"/>
        <w:ind w:firstLine="570"/>
        <w:rPr>
          <w:rFonts w:ascii="宋体" w:hAnsi="宋体"/>
          <w:color w:val="auto"/>
          <w:szCs w:val="21"/>
          <w:highlight w:val="none"/>
        </w:rPr>
      </w:pPr>
      <w:r>
        <w:rPr>
          <w:rFonts w:hint="eastAsia" w:ascii="宋体" w:hAnsi="宋体"/>
          <w:color w:val="auto"/>
          <w:szCs w:val="21"/>
          <w:highlight w:val="none"/>
        </w:rPr>
        <w:t>6．甲方工作人员要秉公办事，不准营私舞弊，不准利用职权从事各种个人有偿中介活动和安排个人施工队伍。</w:t>
      </w:r>
    </w:p>
    <w:p>
      <w:pPr>
        <w:spacing w:line="360" w:lineRule="auto"/>
        <w:ind w:firstLine="570"/>
        <w:rPr>
          <w:rFonts w:ascii="宋体" w:hAnsi="宋体"/>
          <w:color w:val="auto"/>
          <w:szCs w:val="21"/>
          <w:highlight w:val="none"/>
        </w:rPr>
      </w:pPr>
      <w:r>
        <w:rPr>
          <w:rFonts w:hint="eastAsia" w:ascii="宋体" w:hAnsi="宋体"/>
          <w:color w:val="auto"/>
          <w:szCs w:val="21"/>
          <w:highlight w:val="none"/>
        </w:rPr>
        <w:t>三、乙方义务</w:t>
      </w:r>
    </w:p>
    <w:p>
      <w:pPr>
        <w:spacing w:line="360" w:lineRule="auto"/>
        <w:ind w:firstLine="570"/>
        <w:rPr>
          <w:rFonts w:ascii="宋体" w:hAnsi="宋体"/>
          <w:color w:val="auto"/>
          <w:szCs w:val="21"/>
          <w:highlight w:val="none"/>
        </w:rPr>
      </w:pPr>
      <w:r>
        <w:rPr>
          <w:rFonts w:hint="eastAsia" w:ascii="宋体" w:hAnsi="宋体"/>
          <w:color w:val="auto"/>
          <w:szCs w:val="21"/>
          <w:highlight w:val="none"/>
        </w:rPr>
        <w:t>1．乙主不得以任何理由向甲方及其工作人员行贿或馈赠礼金、有价证券、贵重礼品。</w:t>
      </w:r>
    </w:p>
    <w:p>
      <w:pPr>
        <w:spacing w:line="360" w:lineRule="auto"/>
        <w:ind w:firstLine="570"/>
        <w:rPr>
          <w:rFonts w:ascii="宋体" w:hAnsi="宋体"/>
          <w:color w:val="auto"/>
          <w:szCs w:val="21"/>
          <w:highlight w:val="none"/>
        </w:rPr>
      </w:pPr>
      <w:r>
        <w:rPr>
          <w:rFonts w:hint="eastAsia" w:ascii="宋体" w:hAnsi="宋体"/>
          <w:color w:val="auto"/>
          <w:szCs w:val="21"/>
          <w:highlight w:val="none"/>
        </w:rPr>
        <w:t>2．乙方不得以任何名义为甲方及其工作人员报销应由甲方单位或个人支付的任何费用。</w:t>
      </w:r>
    </w:p>
    <w:p>
      <w:pPr>
        <w:spacing w:line="360" w:lineRule="auto"/>
        <w:ind w:firstLine="570"/>
        <w:rPr>
          <w:rFonts w:ascii="宋体" w:hAnsi="宋体"/>
          <w:color w:val="auto"/>
          <w:szCs w:val="21"/>
          <w:highlight w:val="none"/>
        </w:rPr>
      </w:pPr>
      <w:r>
        <w:rPr>
          <w:rFonts w:hint="eastAsia" w:ascii="宋体" w:hAnsi="宋体"/>
          <w:color w:val="auto"/>
          <w:szCs w:val="21"/>
          <w:highlight w:val="none"/>
        </w:rPr>
        <w:t>3．乙方不得以任何理由安排甲方工作人员参加超标准宴请及娱乐活动。</w:t>
      </w:r>
    </w:p>
    <w:p>
      <w:pPr>
        <w:spacing w:line="360" w:lineRule="auto"/>
        <w:ind w:firstLine="570"/>
        <w:rPr>
          <w:rFonts w:ascii="宋体" w:hAnsi="宋体"/>
          <w:color w:val="auto"/>
          <w:szCs w:val="21"/>
          <w:highlight w:val="none"/>
        </w:rPr>
      </w:pPr>
      <w:r>
        <w:rPr>
          <w:rFonts w:hint="eastAsia" w:ascii="宋体" w:hAnsi="宋体"/>
          <w:color w:val="auto"/>
          <w:szCs w:val="21"/>
          <w:highlight w:val="none"/>
        </w:rPr>
        <w:t>4．乙方不得为甲方单位和个人购置或提供通讯工具、交通工具和高档办公用品等。</w:t>
      </w:r>
    </w:p>
    <w:p>
      <w:pPr>
        <w:spacing w:line="360" w:lineRule="auto"/>
        <w:ind w:firstLine="570"/>
        <w:rPr>
          <w:rFonts w:ascii="宋体" w:hAnsi="宋体"/>
          <w:color w:val="auto"/>
          <w:szCs w:val="21"/>
          <w:highlight w:val="none"/>
        </w:rPr>
      </w:pPr>
      <w:r>
        <w:rPr>
          <w:rFonts w:hint="eastAsia" w:ascii="宋体" w:hAnsi="宋体"/>
          <w:color w:val="auto"/>
          <w:szCs w:val="21"/>
          <w:highlight w:val="none"/>
        </w:rPr>
        <w:t>四、违约责任</w:t>
      </w:r>
    </w:p>
    <w:p>
      <w:pPr>
        <w:spacing w:line="360" w:lineRule="auto"/>
        <w:ind w:firstLine="570"/>
        <w:rPr>
          <w:rFonts w:ascii="宋体" w:hAnsi="宋体"/>
          <w:color w:val="auto"/>
          <w:szCs w:val="21"/>
          <w:highlight w:val="none"/>
        </w:rPr>
      </w:pPr>
      <w:r>
        <w:rPr>
          <w:rFonts w:hint="eastAsia" w:ascii="宋体" w:hAnsi="宋体"/>
          <w:color w:val="auto"/>
          <w:szCs w:val="21"/>
          <w:highlight w:val="none"/>
        </w:rPr>
        <w:t>1．甲方及其工作人员违反本合同第一、二条，按管理权限，依据有关规定给予党纪、政纪或组织处理；涉嫌犯罪的，移交司机关追究刑事责任；给乙方单位造成经济损失的，应予以赔偿。</w:t>
      </w:r>
    </w:p>
    <w:p>
      <w:pPr>
        <w:spacing w:line="360" w:lineRule="auto"/>
        <w:ind w:firstLine="570"/>
        <w:rPr>
          <w:rFonts w:ascii="宋体" w:hAnsi="宋体"/>
          <w:color w:val="auto"/>
          <w:szCs w:val="21"/>
          <w:highlight w:val="none"/>
        </w:rPr>
      </w:pPr>
      <w:r>
        <w:rPr>
          <w:rFonts w:hint="eastAsia" w:ascii="宋体" w:hAnsi="宋体"/>
          <w:color w:val="auto"/>
          <w:szCs w:val="21"/>
          <w:highlight w:val="none"/>
        </w:rPr>
        <w:t>2．乙方及其工作人员违反本合同第一、三条，按管理权限，依据有关规定给予党纪、政纪或组织处理；给甲方单位造成经济损失的，应予以赔偿；情节严重的，甲方建议建设行政主管部门给予乙方一至三年内不得进入其主管的建设工程市场的处罚。</w:t>
      </w:r>
    </w:p>
    <w:p>
      <w:pPr>
        <w:spacing w:line="360" w:lineRule="auto"/>
        <w:ind w:firstLine="570"/>
        <w:rPr>
          <w:rFonts w:ascii="宋体" w:hAnsi="宋体"/>
          <w:color w:val="auto"/>
          <w:szCs w:val="21"/>
          <w:highlight w:val="none"/>
        </w:rPr>
      </w:pPr>
      <w:r>
        <w:rPr>
          <w:rFonts w:hint="eastAsia" w:ascii="宋体" w:hAnsi="宋体"/>
          <w:color w:val="auto"/>
          <w:szCs w:val="21"/>
          <w:highlight w:val="none"/>
        </w:rPr>
        <w:t>五、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ind w:firstLine="570"/>
        <w:rPr>
          <w:rFonts w:ascii="宋体" w:hAnsi="宋体"/>
          <w:color w:val="auto"/>
          <w:szCs w:val="21"/>
          <w:highlight w:val="none"/>
        </w:rPr>
      </w:pPr>
      <w:r>
        <w:rPr>
          <w:rFonts w:hint="eastAsia" w:ascii="宋体" w:hAnsi="宋体"/>
          <w:color w:val="auto"/>
          <w:szCs w:val="21"/>
          <w:highlight w:val="none"/>
        </w:rPr>
        <w:t>六、本合同有效期为甲乙双方签署之日起至该工程项目竣工验收后止。</w:t>
      </w:r>
    </w:p>
    <w:p>
      <w:pPr>
        <w:spacing w:line="360" w:lineRule="auto"/>
        <w:ind w:firstLine="570"/>
        <w:rPr>
          <w:rFonts w:ascii="宋体" w:hAnsi="宋体"/>
          <w:color w:val="auto"/>
          <w:szCs w:val="21"/>
          <w:highlight w:val="none"/>
        </w:rPr>
      </w:pPr>
      <w:r>
        <w:rPr>
          <w:rFonts w:hint="eastAsia" w:ascii="宋体" w:hAnsi="宋体"/>
          <w:color w:val="auto"/>
          <w:szCs w:val="21"/>
          <w:highlight w:val="none"/>
        </w:rPr>
        <w:t>七、本合同作为（项目名称）工程施工合同的附件，与工程施工合同具有同等的法律效力，经合同双方签署立即生效。</w:t>
      </w:r>
    </w:p>
    <w:p>
      <w:pPr>
        <w:spacing w:line="360" w:lineRule="auto"/>
        <w:ind w:firstLine="570"/>
        <w:rPr>
          <w:rFonts w:ascii="宋体" w:hAnsi="宋体"/>
          <w:color w:val="auto"/>
          <w:szCs w:val="21"/>
          <w:highlight w:val="none"/>
        </w:rPr>
      </w:pPr>
      <w:r>
        <w:rPr>
          <w:rFonts w:hint="eastAsia" w:ascii="宋体" w:hAnsi="宋体"/>
          <w:color w:val="auto"/>
          <w:szCs w:val="21"/>
          <w:highlight w:val="none"/>
        </w:rPr>
        <w:t>八、本合同一式八份，由甲乙双方各执三份，送交甲乙双方的监督单位各一份。</w:t>
      </w:r>
    </w:p>
    <w:p>
      <w:pPr>
        <w:spacing w:line="360" w:lineRule="auto"/>
        <w:ind w:firstLine="573"/>
        <w:rPr>
          <w:rFonts w:ascii="宋体" w:hAnsi="宋体"/>
          <w:color w:val="auto"/>
          <w:szCs w:val="21"/>
          <w:highlight w:val="none"/>
        </w:rPr>
      </w:pPr>
    </w:p>
    <w:p>
      <w:pPr>
        <w:spacing w:line="360" w:lineRule="auto"/>
        <w:ind w:firstLine="573"/>
        <w:rPr>
          <w:rFonts w:ascii="宋体" w:hAnsi="宋体"/>
          <w:color w:val="auto"/>
          <w:szCs w:val="21"/>
          <w:highlight w:val="none"/>
        </w:rPr>
      </w:pPr>
    </w:p>
    <w:p>
      <w:pPr>
        <w:spacing w:line="360" w:lineRule="auto"/>
        <w:ind w:firstLine="573"/>
        <w:rPr>
          <w:rFonts w:ascii="宋体" w:hAnsi="宋体"/>
          <w:color w:val="auto"/>
          <w:szCs w:val="21"/>
          <w:highlight w:val="none"/>
        </w:rPr>
      </w:pPr>
      <w:r>
        <w:rPr>
          <w:rFonts w:hint="eastAsia" w:ascii="宋体" w:hAnsi="宋体"/>
          <w:color w:val="auto"/>
          <w:szCs w:val="21"/>
          <w:highlight w:val="none"/>
        </w:rPr>
        <w:t>甲方：                                              乙方：</w:t>
      </w:r>
    </w:p>
    <w:p>
      <w:pPr>
        <w:spacing w:line="360" w:lineRule="auto"/>
        <w:ind w:firstLine="573"/>
        <w:rPr>
          <w:rFonts w:ascii="宋体" w:hAnsi="宋体"/>
          <w:color w:val="auto"/>
          <w:szCs w:val="21"/>
          <w:highlight w:val="none"/>
        </w:rPr>
      </w:pPr>
      <w:r>
        <w:rPr>
          <w:rFonts w:hint="eastAsia" w:ascii="宋体" w:hAnsi="宋体"/>
          <w:color w:val="auto"/>
          <w:szCs w:val="21"/>
          <w:highlight w:val="none"/>
        </w:rPr>
        <w:t>法定代表人：                                        法定代表人：</w:t>
      </w:r>
    </w:p>
    <w:p>
      <w:pPr>
        <w:spacing w:line="360" w:lineRule="auto"/>
        <w:ind w:firstLine="573"/>
        <w:rPr>
          <w:rFonts w:ascii="宋体" w:hAnsi="宋体"/>
          <w:color w:val="auto"/>
          <w:szCs w:val="21"/>
          <w:highlight w:val="none"/>
        </w:rPr>
      </w:pPr>
      <w:r>
        <w:rPr>
          <w:rFonts w:hint="eastAsia" w:ascii="宋体" w:hAnsi="宋体"/>
          <w:color w:val="auto"/>
          <w:szCs w:val="21"/>
          <w:highlight w:val="none"/>
        </w:rPr>
        <w:t xml:space="preserve"> 或                                                  或</w:t>
      </w:r>
    </w:p>
    <w:p>
      <w:pPr>
        <w:spacing w:line="360" w:lineRule="auto"/>
        <w:ind w:firstLine="573"/>
        <w:rPr>
          <w:rFonts w:ascii="宋体" w:hAnsi="宋体"/>
          <w:color w:val="auto"/>
          <w:szCs w:val="21"/>
          <w:highlight w:val="none"/>
        </w:rPr>
      </w:pPr>
      <w:r>
        <w:rPr>
          <w:rFonts w:hint="eastAsia" w:ascii="宋体" w:hAnsi="宋体"/>
          <w:color w:val="auto"/>
          <w:szCs w:val="21"/>
          <w:highlight w:val="none"/>
        </w:rPr>
        <w:t>其授权的代理人：                                    其授权的代理人：</w:t>
      </w:r>
    </w:p>
    <w:p>
      <w:pPr>
        <w:spacing w:line="360" w:lineRule="auto"/>
        <w:ind w:firstLine="573"/>
        <w:rPr>
          <w:rFonts w:ascii="宋体" w:hAnsi="宋体"/>
          <w:color w:val="auto"/>
          <w:szCs w:val="21"/>
          <w:highlight w:val="none"/>
        </w:rPr>
      </w:pPr>
      <w:r>
        <w:rPr>
          <w:rFonts w:hint="eastAsia" w:ascii="宋体" w:hAnsi="宋体"/>
          <w:color w:val="auto"/>
          <w:szCs w:val="21"/>
          <w:highlight w:val="none"/>
        </w:rPr>
        <w:t>地址：                                              地址：</w:t>
      </w:r>
    </w:p>
    <w:p>
      <w:pPr>
        <w:spacing w:line="360" w:lineRule="auto"/>
        <w:ind w:firstLine="573"/>
        <w:rPr>
          <w:rFonts w:ascii="宋体" w:hAnsi="宋体"/>
          <w:color w:val="auto"/>
          <w:szCs w:val="21"/>
          <w:highlight w:val="none"/>
        </w:rPr>
      </w:pPr>
      <w:r>
        <w:rPr>
          <w:rFonts w:hint="eastAsia" w:ascii="宋体" w:hAnsi="宋体"/>
          <w:color w:val="auto"/>
          <w:szCs w:val="21"/>
          <w:highlight w:val="none"/>
        </w:rPr>
        <w:t>电话：                                              电话：</w:t>
      </w:r>
    </w:p>
    <w:p>
      <w:pPr>
        <w:spacing w:line="360" w:lineRule="auto"/>
        <w:ind w:firstLine="573"/>
        <w:rPr>
          <w:rFonts w:ascii="宋体" w:hAnsi="宋体"/>
          <w:color w:val="auto"/>
          <w:szCs w:val="21"/>
          <w:highlight w:val="none"/>
        </w:rPr>
      </w:pPr>
      <w:r>
        <w:rPr>
          <w:rFonts w:hint="eastAsia" w:ascii="宋体" w:hAnsi="宋体"/>
          <w:color w:val="auto"/>
          <w:szCs w:val="21"/>
          <w:highlight w:val="none"/>
        </w:rPr>
        <w:t>日期：                                              日期：</w:t>
      </w:r>
    </w:p>
    <w:p>
      <w:pPr>
        <w:spacing w:line="360" w:lineRule="auto"/>
        <w:ind w:firstLine="573"/>
        <w:rPr>
          <w:rFonts w:ascii="宋体" w:hAnsi="宋体"/>
          <w:color w:val="auto"/>
          <w:szCs w:val="21"/>
          <w:highlight w:val="none"/>
        </w:rPr>
      </w:pPr>
      <w:r>
        <w:rPr>
          <w:rFonts w:hint="eastAsia" w:ascii="宋体" w:hAnsi="宋体"/>
          <w:color w:val="auto"/>
          <w:szCs w:val="21"/>
          <w:highlight w:val="none"/>
        </w:rPr>
        <w:t>甲方监督单位：                                      乙方监督单位：</w:t>
      </w:r>
    </w:p>
    <w:p>
      <w:pPr>
        <w:spacing w:line="560" w:lineRule="exact"/>
        <w:ind w:firstLine="573"/>
        <w:rPr>
          <w:color w:val="auto"/>
          <w:sz w:val="28"/>
          <w:szCs w:val="28"/>
          <w:highlight w:val="none"/>
        </w:rPr>
      </w:pPr>
    </w:p>
    <w:p>
      <w:pPr>
        <w:spacing w:line="360" w:lineRule="exact"/>
        <w:ind w:firstLine="472" w:firstLineChars="225"/>
        <w:rPr>
          <w:rFonts w:ascii="宋体" w:hAnsi="宋体"/>
          <w:color w:val="auto"/>
          <w:szCs w:val="21"/>
          <w:highlight w:val="none"/>
        </w:rPr>
        <w:sectPr>
          <w:pgSz w:w="11906" w:h="16838"/>
          <w:pgMar w:top="1418" w:right="1134" w:bottom="1418" w:left="1134" w:header="851" w:footer="992" w:gutter="0"/>
          <w:cols w:space="720" w:num="1"/>
          <w:docGrid w:type="lines" w:linePitch="312" w:charSpace="0"/>
        </w:sectPr>
      </w:pPr>
    </w:p>
    <w:p>
      <w:pPr>
        <w:spacing w:line="360" w:lineRule="exact"/>
        <w:ind w:firstLine="420" w:firstLineChars="200"/>
        <w:rPr>
          <w:rFonts w:ascii="宋体" w:hAnsi="宋体"/>
          <w:color w:val="auto"/>
          <w:szCs w:val="21"/>
          <w:highlight w:val="none"/>
        </w:rPr>
      </w:pPr>
    </w:p>
    <w:p>
      <w:pPr>
        <w:pStyle w:val="4"/>
        <w:spacing w:line="360" w:lineRule="exact"/>
        <w:jc w:val="center"/>
        <w:rPr>
          <w:color w:val="auto"/>
          <w:szCs w:val="32"/>
          <w:highlight w:val="none"/>
        </w:rPr>
      </w:pPr>
      <w:bookmarkStart w:id="34" w:name="_Toc403986567"/>
      <w:r>
        <w:rPr>
          <w:rFonts w:hint="eastAsia"/>
          <w:color w:val="auto"/>
          <w:szCs w:val="32"/>
          <w:highlight w:val="none"/>
        </w:rPr>
        <w:t>第五章  投标文件格式</w:t>
      </w:r>
      <w:bookmarkEnd w:id="34"/>
    </w:p>
    <w:p>
      <w:pPr>
        <w:spacing w:line="360" w:lineRule="auto"/>
        <w:rPr>
          <w:rFonts w:ascii="宋体" w:hAnsi="宋体"/>
          <w:color w:val="auto"/>
          <w:sz w:val="44"/>
          <w:szCs w:val="44"/>
          <w:highlight w:val="none"/>
        </w:rPr>
      </w:pPr>
    </w:p>
    <w:p>
      <w:pPr>
        <w:spacing w:line="360" w:lineRule="auto"/>
        <w:rPr>
          <w:rFonts w:ascii="宋体" w:hAnsi="宋体"/>
          <w:color w:val="auto"/>
          <w:sz w:val="44"/>
          <w:szCs w:val="44"/>
          <w:highlight w:val="none"/>
        </w:rPr>
      </w:pPr>
    </w:p>
    <w:p>
      <w:pPr>
        <w:spacing w:line="360" w:lineRule="exact"/>
        <w:ind w:firstLine="2088" w:firstLineChars="650"/>
        <w:rPr>
          <w:rFonts w:ascii="宋体" w:hAnsi="宋体"/>
          <w:b/>
          <w:color w:val="auto"/>
          <w:sz w:val="32"/>
          <w:szCs w:val="32"/>
          <w:highlight w:val="none"/>
        </w:rPr>
      </w:pP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（项目名称）</w:t>
      </w:r>
    </w:p>
    <w:p>
      <w:pPr>
        <w:spacing w:line="360" w:lineRule="exact"/>
        <w:ind w:firstLine="420" w:firstLineChars="200"/>
        <w:rPr>
          <w:rFonts w:ascii="宋体" w:hAnsi="宋体"/>
          <w:color w:val="auto"/>
          <w:szCs w:val="21"/>
          <w:highlight w:val="none"/>
        </w:rPr>
      </w:pPr>
    </w:p>
    <w:p>
      <w:pPr>
        <w:spacing w:line="360" w:lineRule="auto"/>
        <w:ind w:firstLine="1440" w:firstLineChars="200"/>
        <w:jc w:val="center"/>
        <w:rPr>
          <w:rFonts w:ascii="宋体" w:hAnsi="宋体"/>
          <w:color w:val="auto"/>
          <w:sz w:val="72"/>
          <w:szCs w:val="72"/>
          <w:highlight w:val="none"/>
        </w:rPr>
      </w:pPr>
    </w:p>
    <w:p>
      <w:pPr>
        <w:spacing w:line="360" w:lineRule="auto"/>
        <w:ind w:firstLine="1440" w:firstLineChars="200"/>
        <w:jc w:val="center"/>
        <w:rPr>
          <w:rFonts w:ascii="宋体" w:hAnsi="宋体"/>
          <w:color w:val="auto"/>
          <w:sz w:val="72"/>
          <w:szCs w:val="72"/>
          <w:highlight w:val="none"/>
        </w:rPr>
      </w:pPr>
    </w:p>
    <w:p>
      <w:pPr>
        <w:spacing w:line="360" w:lineRule="auto"/>
        <w:jc w:val="center"/>
        <w:rPr>
          <w:rFonts w:ascii="宋体" w:hAnsi="宋体"/>
          <w:color w:val="auto"/>
          <w:sz w:val="72"/>
          <w:szCs w:val="72"/>
          <w:highlight w:val="none"/>
        </w:rPr>
      </w:pPr>
      <w:r>
        <w:rPr>
          <w:rFonts w:hint="eastAsia" w:ascii="宋体" w:hAnsi="宋体"/>
          <w:color w:val="auto"/>
          <w:sz w:val="72"/>
          <w:szCs w:val="72"/>
          <w:highlight w:val="none"/>
        </w:rPr>
        <w:t>商务标</w:t>
      </w:r>
    </w:p>
    <w:p>
      <w:pPr>
        <w:spacing w:line="360" w:lineRule="auto"/>
        <w:jc w:val="center"/>
        <w:rPr>
          <w:rFonts w:ascii="宋体" w:hAnsi="宋体"/>
          <w:color w:val="auto"/>
          <w:sz w:val="72"/>
          <w:szCs w:val="72"/>
          <w:highlight w:val="none"/>
        </w:rPr>
      </w:pPr>
      <w:r>
        <w:rPr>
          <w:rFonts w:hint="eastAsia" w:ascii="宋体" w:hAnsi="宋体"/>
          <w:color w:val="auto"/>
          <w:sz w:val="72"/>
          <w:szCs w:val="72"/>
          <w:highlight w:val="none"/>
        </w:rPr>
        <w:t>投标文件</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jc w:val="center"/>
        <w:rPr>
          <w:rFonts w:ascii="宋体" w:hAnsi="宋体"/>
          <w:color w:val="auto"/>
          <w:sz w:val="28"/>
          <w:szCs w:val="28"/>
          <w:highlight w:val="none"/>
        </w:rPr>
      </w:pPr>
      <w:r>
        <w:rPr>
          <w:rFonts w:hint="eastAsia" w:ascii="宋体" w:hAnsi="宋体"/>
          <w:color w:val="auto"/>
          <w:sz w:val="28"/>
          <w:szCs w:val="28"/>
          <w:highlight w:val="none"/>
        </w:rPr>
        <w:t xml:space="preserve">  投标人：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spacing w:line="360" w:lineRule="exact"/>
        <w:ind w:firstLine="560" w:firstLineChars="200"/>
        <w:rPr>
          <w:rFonts w:ascii="宋体" w:hAnsi="宋体"/>
          <w:color w:val="auto"/>
          <w:sz w:val="28"/>
          <w:szCs w:val="28"/>
          <w:highlight w:val="none"/>
        </w:rPr>
      </w:pPr>
    </w:p>
    <w:p>
      <w:pPr>
        <w:spacing w:line="360" w:lineRule="exact"/>
        <w:ind w:firstLine="1960" w:firstLineChars="700"/>
        <w:rPr>
          <w:rFonts w:ascii="宋体" w:hAnsi="宋体"/>
          <w:color w:val="auto"/>
          <w:sz w:val="28"/>
          <w:szCs w:val="28"/>
          <w:highlight w:val="none"/>
        </w:rPr>
      </w:pPr>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p>
    <w:p>
      <w:pPr>
        <w:spacing w:line="360" w:lineRule="exact"/>
        <w:jc w:val="center"/>
        <w:rPr>
          <w:rFonts w:ascii="宋体" w:hAnsi="宋体"/>
          <w:color w:val="auto"/>
          <w:szCs w:val="21"/>
          <w:highlight w:val="none"/>
          <w:u w:val="single"/>
        </w:rPr>
      </w:pPr>
    </w:p>
    <w:p>
      <w:pPr>
        <w:spacing w:line="360" w:lineRule="exact"/>
        <w:jc w:val="center"/>
        <w:rPr>
          <w:rFonts w:ascii="宋体" w:hAnsi="宋体"/>
          <w:color w:val="auto"/>
          <w:szCs w:val="21"/>
          <w:highlight w:val="none"/>
        </w:rPr>
        <w:sectPr>
          <w:pgSz w:w="11906" w:h="16838"/>
          <w:pgMar w:top="1418" w:right="1134" w:bottom="1418" w:left="1134" w:header="851" w:footer="992" w:gutter="0"/>
          <w:cols w:space="720" w:num="1"/>
          <w:docGrid w:type="lines" w:linePitch="312" w:charSpace="0"/>
        </w:sectPr>
      </w:pPr>
      <w:r>
        <w:rPr>
          <w:rFonts w:hint="eastAsia" w:ascii="宋体" w:hAnsi="宋体"/>
          <w:color w:val="auto"/>
          <w:szCs w:val="21"/>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360" w:lineRule="exact"/>
        <w:rPr>
          <w:color w:val="auto"/>
          <w:sz w:val="28"/>
          <w:highlight w:val="none"/>
        </w:rPr>
      </w:pPr>
    </w:p>
    <w:p>
      <w:pPr>
        <w:spacing w:line="360" w:lineRule="exact"/>
        <w:jc w:val="center"/>
        <w:rPr>
          <w:rFonts w:eastAsia="方正魏碑简体"/>
          <w:b/>
          <w:bCs/>
          <w:color w:val="auto"/>
          <w:sz w:val="44"/>
          <w:highlight w:val="none"/>
        </w:rPr>
      </w:pPr>
    </w:p>
    <w:p>
      <w:pPr>
        <w:spacing w:line="360" w:lineRule="auto"/>
        <w:jc w:val="center"/>
        <w:rPr>
          <w:rFonts w:eastAsia="方正魏碑简体"/>
          <w:b/>
          <w:bCs/>
          <w:color w:val="auto"/>
          <w:sz w:val="44"/>
          <w:highlight w:val="none"/>
        </w:rPr>
      </w:pPr>
      <w:r>
        <w:rPr>
          <w:rFonts w:hint="eastAsia" w:eastAsia="方正魏碑简体"/>
          <w:b/>
          <w:bCs/>
          <w:color w:val="auto"/>
          <w:sz w:val="44"/>
          <w:highlight w:val="none"/>
        </w:rPr>
        <w:t>目    录</w:t>
      </w:r>
    </w:p>
    <w:p>
      <w:pPr>
        <w:spacing w:line="360" w:lineRule="auto"/>
        <w:ind w:firstLine="1440" w:firstLineChars="200"/>
        <w:jc w:val="center"/>
        <w:rPr>
          <w:rFonts w:ascii="宋体" w:hAnsi="宋体"/>
          <w:color w:val="auto"/>
          <w:sz w:val="72"/>
          <w:szCs w:val="72"/>
          <w:highlight w:val="none"/>
        </w:rPr>
      </w:pPr>
    </w:p>
    <w:p>
      <w:pPr>
        <w:spacing w:line="360" w:lineRule="auto"/>
        <w:ind w:firstLine="1760" w:firstLineChars="550"/>
        <w:rPr>
          <w:color w:val="auto"/>
          <w:sz w:val="32"/>
          <w:highlight w:val="none"/>
        </w:rPr>
      </w:pPr>
      <w:r>
        <w:rPr>
          <w:rFonts w:hint="eastAsia"/>
          <w:color w:val="auto"/>
          <w:sz w:val="32"/>
          <w:highlight w:val="none"/>
        </w:rPr>
        <w:t>1、投标函</w:t>
      </w:r>
    </w:p>
    <w:p>
      <w:pPr>
        <w:spacing w:line="360" w:lineRule="auto"/>
        <w:ind w:firstLine="1760" w:firstLineChars="550"/>
        <w:rPr>
          <w:color w:val="auto"/>
          <w:sz w:val="32"/>
          <w:highlight w:val="none"/>
        </w:rPr>
      </w:pPr>
      <w:r>
        <w:rPr>
          <w:rFonts w:hint="eastAsia"/>
          <w:color w:val="auto"/>
          <w:sz w:val="32"/>
          <w:highlight w:val="none"/>
        </w:rPr>
        <w:t>2、投标报价表</w:t>
      </w:r>
    </w:p>
    <w:p>
      <w:pPr>
        <w:spacing w:line="360" w:lineRule="auto"/>
        <w:rPr>
          <w:color w:val="auto"/>
          <w:highlight w:val="none"/>
        </w:rPr>
      </w:pPr>
    </w:p>
    <w:p>
      <w:pPr>
        <w:spacing w:line="360" w:lineRule="auto"/>
        <w:rPr>
          <w:color w:val="auto"/>
          <w:highlight w:val="none"/>
        </w:rPr>
      </w:pP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 </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 </w:t>
      </w:r>
    </w:p>
    <w:p>
      <w:pPr>
        <w:spacing w:line="360" w:lineRule="exact"/>
        <w:rPr>
          <w:rFonts w:ascii="宋体" w:hAnsi="宋体"/>
          <w:color w:val="auto"/>
          <w:szCs w:val="21"/>
          <w:highlight w:val="none"/>
        </w:rPr>
        <w:sectPr>
          <w:pgSz w:w="11906" w:h="16838"/>
          <w:pgMar w:top="1418" w:right="1134" w:bottom="1418" w:left="1134" w:header="851" w:footer="992" w:gutter="0"/>
          <w:cols w:space="720" w:num="1"/>
          <w:docGrid w:type="lines" w:linePitch="312" w:charSpace="0"/>
        </w:sectPr>
      </w:pPr>
    </w:p>
    <w:p>
      <w:pPr>
        <w:spacing w:line="360" w:lineRule="auto"/>
        <w:jc w:val="center"/>
        <w:rPr>
          <w:rFonts w:eastAsia="方正魏碑简体"/>
          <w:b/>
          <w:bCs/>
          <w:color w:val="auto"/>
          <w:sz w:val="44"/>
          <w:highlight w:val="none"/>
        </w:rPr>
      </w:pPr>
      <w:r>
        <w:rPr>
          <w:rFonts w:hint="eastAsia" w:eastAsia="方正魏碑简体"/>
          <w:b/>
          <w:bCs/>
          <w:color w:val="auto"/>
          <w:sz w:val="44"/>
          <w:highlight w:val="none"/>
        </w:rPr>
        <w:t>投  标  函</w:t>
      </w:r>
    </w:p>
    <w:p>
      <w:pPr>
        <w:spacing w:line="360" w:lineRule="auto"/>
        <w:rPr>
          <w:color w:val="auto"/>
          <w:sz w:val="44"/>
          <w:highlight w:val="none"/>
        </w:rPr>
      </w:pPr>
    </w:p>
    <w:p>
      <w:pPr>
        <w:spacing w:line="360" w:lineRule="auto"/>
        <w:rPr>
          <w:color w:val="auto"/>
          <w:sz w:val="24"/>
          <w:highlight w:val="none"/>
        </w:rPr>
      </w:pPr>
      <w:r>
        <w:rPr>
          <w:rFonts w:hint="eastAsia"/>
          <w:color w:val="auto"/>
          <w:sz w:val="24"/>
          <w:highlight w:val="none"/>
        </w:rPr>
        <w:t>致：</w:t>
      </w:r>
      <w:r>
        <w:rPr>
          <w:rFonts w:hint="eastAsia"/>
          <w:color w:val="auto"/>
          <w:sz w:val="24"/>
          <w:highlight w:val="none"/>
          <w:u w:val="single"/>
        </w:rPr>
        <w:t xml:space="preserve">                         </w:t>
      </w:r>
    </w:p>
    <w:p>
      <w:pPr>
        <w:spacing w:line="360" w:lineRule="auto"/>
        <w:ind w:firstLine="480" w:firstLineChars="200"/>
        <w:rPr>
          <w:color w:val="auto"/>
          <w:sz w:val="24"/>
          <w:highlight w:val="none"/>
        </w:rPr>
      </w:pPr>
      <w:r>
        <w:rPr>
          <w:rFonts w:hint="eastAsia"/>
          <w:color w:val="auto"/>
          <w:sz w:val="24"/>
          <w:highlight w:val="none"/>
        </w:rPr>
        <w:t>1、根据你方</w:t>
      </w:r>
      <w:r>
        <w:rPr>
          <w:rFonts w:hint="eastAsia"/>
          <w:color w:val="auto"/>
          <w:sz w:val="24"/>
          <w:highlight w:val="none"/>
          <w:u w:val="single"/>
        </w:rPr>
        <w:t xml:space="preserve">                 </w:t>
      </w:r>
      <w:r>
        <w:rPr>
          <w:rFonts w:hint="eastAsia"/>
          <w:color w:val="auto"/>
          <w:sz w:val="24"/>
          <w:highlight w:val="none"/>
        </w:rPr>
        <w:t>招标文件，遵照《中华人民共和国招标投标法》等有关规定，经踏勘项目现场和研究上述招标文件、工程建设标准和其他有关文件后，我方愿以按《建设工程监理与相关服务收费管理规定》（发改价格【2007】670号）文件规定收费的</w:t>
      </w:r>
      <w:r>
        <w:rPr>
          <w:rFonts w:hint="eastAsia"/>
          <w:bCs/>
          <w:color w:val="auto"/>
          <w:sz w:val="24"/>
          <w:highlight w:val="none"/>
          <w:u w:val="single"/>
        </w:rPr>
        <w:t xml:space="preserve">    </w:t>
      </w:r>
      <w:r>
        <w:rPr>
          <w:rFonts w:hint="eastAsia"/>
          <w:bCs/>
          <w:color w:val="auto"/>
          <w:sz w:val="24"/>
          <w:highlight w:val="none"/>
        </w:rPr>
        <w:t>%</w:t>
      </w:r>
      <w:r>
        <w:rPr>
          <w:rFonts w:hint="eastAsia"/>
          <w:color w:val="auto"/>
          <w:sz w:val="24"/>
          <w:highlight w:val="none"/>
        </w:rPr>
        <w:t>（调整系数均为1.0）为我单位的投标报价百分比，监理服务期为</w:t>
      </w:r>
      <w:r>
        <w:rPr>
          <w:rFonts w:hint="eastAsia"/>
          <w:color w:val="auto"/>
          <w:sz w:val="24"/>
          <w:highlight w:val="none"/>
          <w:u w:val="single"/>
        </w:rPr>
        <w:t xml:space="preserve">         </w:t>
      </w:r>
      <w:r>
        <w:rPr>
          <w:rFonts w:hint="eastAsia"/>
          <w:color w:val="auto"/>
          <w:sz w:val="24"/>
          <w:highlight w:val="none"/>
        </w:rPr>
        <w:t>，质量目标为</w:t>
      </w:r>
      <w:r>
        <w:rPr>
          <w:rFonts w:hint="eastAsia"/>
          <w:color w:val="auto"/>
          <w:sz w:val="24"/>
          <w:highlight w:val="none"/>
          <w:u w:val="single"/>
        </w:rPr>
        <w:t xml:space="preserve">          </w:t>
      </w:r>
      <w:r>
        <w:rPr>
          <w:rFonts w:hint="eastAsia"/>
          <w:color w:val="auto"/>
          <w:sz w:val="24"/>
          <w:highlight w:val="none"/>
        </w:rPr>
        <w:t>，并按上述招标文件、工程建设标准等条件要求承包上述工程的监理工作。</w:t>
      </w:r>
    </w:p>
    <w:p>
      <w:pPr>
        <w:spacing w:line="360" w:lineRule="auto"/>
        <w:ind w:firstLine="480" w:firstLineChars="200"/>
        <w:rPr>
          <w:color w:val="auto"/>
          <w:sz w:val="24"/>
          <w:highlight w:val="none"/>
        </w:rPr>
      </w:pPr>
      <w:r>
        <w:rPr>
          <w:rFonts w:hint="eastAsia"/>
          <w:color w:val="auto"/>
          <w:sz w:val="24"/>
          <w:highlight w:val="none"/>
        </w:rPr>
        <w:t>2、我方已详细审核全部招标文件，包括修改文件及有关附件。</w:t>
      </w:r>
    </w:p>
    <w:p>
      <w:pPr>
        <w:spacing w:line="360" w:lineRule="auto"/>
        <w:ind w:firstLine="480" w:firstLineChars="200"/>
        <w:rPr>
          <w:color w:val="auto"/>
          <w:sz w:val="24"/>
          <w:highlight w:val="none"/>
        </w:rPr>
      </w:pPr>
      <w:r>
        <w:rPr>
          <w:rFonts w:hint="eastAsia"/>
          <w:color w:val="auto"/>
          <w:sz w:val="24"/>
          <w:highlight w:val="none"/>
        </w:rPr>
        <w:t>3、如果我方中标，我方将按照规定提交人民币（大写）</w:t>
      </w:r>
      <w:r>
        <w:rPr>
          <w:rFonts w:hint="eastAsia"/>
          <w:color w:val="auto"/>
          <w:sz w:val="24"/>
          <w:highlight w:val="none"/>
          <w:u w:val="single"/>
        </w:rPr>
        <w:t xml:space="preserve">           </w:t>
      </w:r>
      <w:r>
        <w:rPr>
          <w:rFonts w:hint="eastAsia"/>
          <w:color w:val="auto"/>
          <w:sz w:val="24"/>
          <w:highlight w:val="none"/>
        </w:rPr>
        <w:t>元作为履约担保。</w:t>
      </w:r>
    </w:p>
    <w:p>
      <w:pPr>
        <w:spacing w:line="360" w:lineRule="auto"/>
        <w:ind w:firstLine="480" w:firstLineChars="200"/>
        <w:rPr>
          <w:color w:val="auto"/>
          <w:sz w:val="24"/>
          <w:highlight w:val="none"/>
        </w:rPr>
      </w:pPr>
      <w:r>
        <w:rPr>
          <w:rFonts w:hint="eastAsia"/>
          <w:color w:val="auto"/>
          <w:sz w:val="24"/>
          <w:highlight w:val="none"/>
        </w:rPr>
        <w:t>4、我方同意所提交的投标文件在招标文件规定的</w:t>
      </w:r>
      <w:r>
        <w:rPr>
          <w:rFonts w:hint="eastAsia"/>
          <w:color w:val="auto"/>
          <w:sz w:val="24"/>
          <w:highlight w:val="none"/>
          <w:u w:val="single"/>
        </w:rPr>
        <w:t>60日历天</w:t>
      </w:r>
      <w:r>
        <w:rPr>
          <w:rFonts w:hint="eastAsia"/>
          <w:color w:val="auto"/>
          <w:sz w:val="24"/>
          <w:highlight w:val="none"/>
        </w:rPr>
        <w:t>（从投标截止之日算起）止有效，在此期间内如果中标，我方将受此约束。如果在投标有效期内撤回投标，投标保证金将全部被没收。</w:t>
      </w:r>
    </w:p>
    <w:p>
      <w:pPr>
        <w:spacing w:line="360" w:lineRule="auto"/>
        <w:ind w:firstLine="480" w:firstLineChars="200"/>
        <w:rPr>
          <w:color w:val="auto"/>
          <w:sz w:val="24"/>
          <w:highlight w:val="none"/>
        </w:rPr>
      </w:pPr>
      <w:r>
        <w:rPr>
          <w:rFonts w:hint="eastAsia"/>
          <w:color w:val="auto"/>
          <w:sz w:val="24"/>
          <w:highlight w:val="none"/>
        </w:rPr>
        <w:t>5、除非另外达成协议并生效，你方的招标文件、中标通知书和本投标文件将成为约束双方的合同文件组成部分。</w:t>
      </w:r>
    </w:p>
    <w:p>
      <w:pPr>
        <w:spacing w:line="360" w:lineRule="auto"/>
        <w:ind w:firstLine="480" w:firstLineChars="200"/>
        <w:rPr>
          <w:color w:val="auto"/>
          <w:sz w:val="24"/>
          <w:highlight w:val="none"/>
        </w:rPr>
      </w:pPr>
      <w:r>
        <w:rPr>
          <w:rFonts w:hint="eastAsia"/>
          <w:color w:val="auto"/>
          <w:sz w:val="24"/>
          <w:highlight w:val="none"/>
        </w:rPr>
        <w:t>6、我方数额为人民币（大写）</w:t>
      </w:r>
      <w:r>
        <w:rPr>
          <w:rFonts w:hint="eastAsia"/>
          <w:color w:val="auto"/>
          <w:sz w:val="24"/>
          <w:highlight w:val="none"/>
          <w:u w:val="single"/>
        </w:rPr>
        <w:t xml:space="preserve">            </w:t>
      </w:r>
      <w:r>
        <w:rPr>
          <w:rFonts w:hint="eastAsia"/>
          <w:color w:val="auto"/>
          <w:sz w:val="24"/>
          <w:highlight w:val="none"/>
        </w:rPr>
        <w:t>元的投标担保已递交。</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投   标   人：（盖单位章）           法定代表人或其委托代理人：（签字或盖章）</w:t>
      </w:r>
    </w:p>
    <w:p>
      <w:pPr>
        <w:spacing w:line="360" w:lineRule="auto"/>
        <w:ind w:firstLine="480" w:firstLineChars="200"/>
        <w:rPr>
          <w:color w:val="auto"/>
          <w:sz w:val="24"/>
          <w:highlight w:val="none"/>
        </w:rPr>
      </w:pPr>
      <w:r>
        <w:rPr>
          <w:rFonts w:hint="eastAsia"/>
          <w:color w:val="auto"/>
          <w:sz w:val="24"/>
          <w:highlight w:val="none"/>
        </w:rPr>
        <w:t>单 位 地  址：                      邮 政  编 码：</w:t>
      </w:r>
    </w:p>
    <w:p>
      <w:pPr>
        <w:spacing w:line="360" w:lineRule="auto"/>
        <w:ind w:firstLine="480" w:firstLineChars="200"/>
        <w:rPr>
          <w:color w:val="auto"/>
          <w:sz w:val="24"/>
          <w:highlight w:val="none"/>
        </w:rPr>
      </w:pPr>
      <w:r>
        <w:rPr>
          <w:rFonts w:hint="eastAsia"/>
          <w:color w:val="auto"/>
          <w:sz w:val="24"/>
          <w:highlight w:val="none"/>
        </w:rPr>
        <w:t>电        话：                      传        真：</w:t>
      </w:r>
    </w:p>
    <w:p>
      <w:pPr>
        <w:spacing w:line="360" w:lineRule="auto"/>
        <w:ind w:firstLine="480" w:firstLineChars="200"/>
        <w:rPr>
          <w:color w:val="auto"/>
          <w:sz w:val="24"/>
          <w:highlight w:val="none"/>
        </w:rPr>
      </w:pPr>
      <w:r>
        <w:rPr>
          <w:rFonts w:hint="eastAsia"/>
          <w:color w:val="auto"/>
          <w:sz w:val="24"/>
          <w:highlight w:val="none"/>
        </w:rPr>
        <w:t>开户银行名称：                      开户银行帐号：</w:t>
      </w:r>
    </w:p>
    <w:p>
      <w:pPr>
        <w:spacing w:line="360" w:lineRule="auto"/>
        <w:ind w:firstLine="480" w:firstLineChars="200"/>
        <w:rPr>
          <w:color w:val="auto"/>
          <w:sz w:val="24"/>
          <w:highlight w:val="none"/>
        </w:rPr>
      </w:pPr>
      <w:r>
        <w:rPr>
          <w:rFonts w:hint="eastAsia"/>
          <w:color w:val="auto"/>
          <w:sz w:val="24"/>
          <w:highlight w:val="none"/>
        </w:rPr>
        <w:t>开户银行地址：                      开户银行电话：</w:t>
      </w:r>
    </w:p>
    <w:p>
      <w:pPr>
        <w:spacing w:line="360" w:lineRule="auto"/>
        <w:ind w:firstLine="480" w:firstLineChars="200"/>
        <w:rPr>
          <w:color w:val="auto"/>
          <w:sz w:val="24"/>
          <w:highlight w:val="none"/>
        </w:rPr>
      </w:pPr>
    </w:p>
    <w:p>
      <w:pPr>
        <w:spacing w:line="360" w:lineRule="auto"/>
        <w:ind w:firstLine="5040" w:firstLineChars="2100"/>
        <w:rPr>
          <w:color w:val="auto"/>
          <w:sz w:val="24"/>
          <w:highlight w:val="none"/>
        </w:rPr>
      </w:pPr>
      <w:r>
        <w:rPr>
          <w:rFonts w:hint="eastAsia"/>
          <w:color w:val="auto"/>
          <w:sz w:val="24"/>
          <w:highlight w:val="none"/>
        </w:rPr>
        <w:t>日        期：        年    月   日</w:t>
      </w:r>
    </w:p>
    <w:p>
      <w:pPr>
        <w:spacing w:line="360" w:lineRule="auto"/>
        <w:ind w:firstLine="480" w:firstLineChars="200"/>
        <w:jc w:val="center"/>
        <w:rPr>
          <w:color w:val="auto"/>
          <w:sz w:val="24"/>
          <w:highlight w:val="none"/>
        </w:rPr>
      </w:pPr>
      <w:r>
        <w:rPr>
          <w:rFonts w:hint="eastAsia"/>
          <w:color w:val="auto"/>
          <w:sz w:val="24"/>
          <w:highlight w:val="none"/>
        </w:rPr>
        <w:t xml:space="preserve"> </w:t>
      </w:r>
    </w:p>
    <w:p>
      <w:pPr>
        <w:spacing w:line="360" w:lineRule="auto"/>
        <w:rPr>
          <w:color w:val="auto"/>
          <w:sz w:val="24"/>
          <w:highlight w:val="none"/>
        </w:rPr>
      </w:pPr>
    </w:p>
    <w:p>
      <w:pPr>
        <w:spacing w:line="360" w:lineRule="exact"/>
        <w:rPr>
          <w:color w:val="auto"/>
          <w:highlight w:val="none"/>
        </w:rPr>
      </w:pPr>
    </w:p>
    <w:p>
      <w:pPr>
        <w:spacing w:line="360" w:lineRule="auto"/>
        <w:jc w:val="center"/>
        <w:rPr>
          <w:rFonts w:ascii="黑体" w:eastAsia="黑体"/>
          <w:b/>
          <w:color w:val="auto"/>
          <w:sz w:val="44"/>
          <w:szCs w:val="44"/>
          <w:highlight w:val="none"/>
        </w:rPr>
      </w:pPr>
    </w:p>
    <w:p>
      <w:pPr>
        <w:spacing w:line="360" w:lineRule="auto"/>
        <w:jc w:val="center"/>
        <w:rPr>
          <w:rFonts w:ascii="黑体" w:eastAsia="黑体"/>
          <w:b/>
          <w:color w:val="auto"/>
          <w:sz w:val="44"/>
          <w:szCs w:val="44"/>
          <w:highlight w:val="none"/>
        </w:rPr>
      </w:pPr>
      <w:r>
        <w:rPr>
          <w:rFonts w:hint="eastAsia" w:ascii="黑体" w:eastAsia="黑体"/>
          <w:b/>
          <w:color w:val="auto"/>
          <w:sz w:val="44"/>
          <w:szCs w:val="44"/>
          <w:highlight w:val="none"/>
        </w:rPr>
        <w:t xml:space="preserve">投  标  报  价  表  </w:t>
      </w: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jc w:val="left"/>
        <w:rPr>
          <w:color w:val="auto"/>
          <w:sz w:val="28"/>
          <w:szCs w:val="28"/>
          <w:highlight w:val="none"/>
          <w:u w:val="single"/>
        </w:rPr>
      </w:pPr>
      <w:r>
        <w:rPr>
          <w:rFonts w:hint="eastAsia"/>
          <w:color w:val="auto"/>
          <w:sz w:val="28"/>
          <w:szCs w:val="28"/>
          <w:highlight w:val="none"/>
        </w:rPr>
        <w:t>建设单位：</w:t>
      </w:r>
      <w:r>
        <w:rPr>
          <w:rFonts w:hint="eastAsia"/>
          <w:color w:val="auto"/>
          <w:sz w:val="28"/>
          <w:szCs w:val="28"/>
          <w:highlight w:val="none"/>
          <w:u w:val="single"/>
        </w:rPr>
        <w:t xml:space="preserve">                                                   </w:t>
      </w:r>
    </w:p>
    <w:p>
      <w:pPr>
        <w:spacing w:line="360" w:lineRule="auto"/>
        <w:jc w:val="left"/>
        <w:rPr>
          <w:color w:val="auto"/>
          <w:sz w:val="28"/>
          <w:szCs w:val="28"/>
          <w:highlight w:val="none"/>
          <w:u w:val="single"/>
        </w:rPr>
      </w:pPr>
    </w:p>
    <w:p>
      <w:pPr>
        <w:spacing w:line="360" w:lineRule="auto"/>
        <w:jc w:val="left"/>
        <w:rPr>
          <w:color w:val="auto"/>
          <w:sz w:val="28"/>
          <w:szCs w:val="28"/>
          <w:highlight w:val="none"/>
          <w:u w:val="single"/>
        </w:rPr>
      </w:pPr>
      <w:r>
        <w:rPr>
          <w:rFonts w:hint="eastAsia"/>
          <w:color w:val="auto"/>
          <w:sz w:val="28"/>
          <w:szCs w:val="28"/>
          <w:highlight w:val="none"/>
        </w:rPr>
        <w:t>工程名称：</w:t>
      </w:r>
      <w:r>
        <w:rPr>
          <w:rFonts w:hint="eastAsia"/>
          <w:color w:val="auto"/>
          <w:sz w:val="28"/>
          <w:szCs w:val="28"/>
          <w:highlight w:val="none"/>
          <w:u w:val="single"/>
        </w:rPr>
        <w:t xml:space="preserve">                                                   </w:t>
      </w:r>
    </w:p>
    <w:p>
      <w:pPr>
        <w:spacing w:line="360" w:lineRule="auto"/>
        <w:jc w:val="left"/>
        <w:rPr>
          <w:color w:val="auto"/>
          <w:sz w:val="28"/>
          <w:szCs w:val="28"/>
          <w:highlight w:val="none"/>
          <w:u w:val="single"/>
        </w:rPr>
      </w:pPr>
    </w:p>
    <w:p>
      <w:pPr>
        <w:spacing w:line="360" w:lineRule="auto"/>
        <w:jc w:val="left"/>
        <w:rPr>
          <w:color w:val="auto"/>
          <w:sz w:val="28"/>
          <w:szCs w:val="28"/>
          <w:highlight w:val="none"/>
          <w:u w:val="single"/>
        </w:rPr>
      </w:pPr>
      <w:r>
        <w:rPr>
          <w:rFonts w:hint="eastAsia"/>
          <w:color w:val="auto"/>
          <w:sz w:val="28"/>
          <w:szCs w:val="28"/>
          <w:highlight w:val="none"/>
        </w:rPr>
        <w:t>投标报价按标准收费的百分比：</w:t>
      </w:r>
      <w:r>
        <w:rPr>
          <w:rFonts w:hint="eastAsia"/>
          <w:color w:val="auto"/>
          <w:sz w:val="28"/>
          <w:szCs w:val="28"/>
          <w:highlight w:val="none"/>
          <w:u w:val="single"/>
        </w:rPr>
        <w:t xml:space="preserve">                                 </w:t>
      </w:r>
    </w:p>
    <w:p>
      <w:pPr>
        <w:spacing w:line="360" w:lineRule="auto"/>
        <w:jc w:val="left"/>
        <w:rPr>
          <w:color w:val="auto"/>
          <w:sz w:val="28"/>
          <w:szCs w:val="28"/>
          <w:highlight w:val="none"/>
          <w:u w:val="single"/>
        </w:rPr>
      </w:pPr>
    </w:p>
    <w:p>
      <w:pPr>
        <w:spacing w:line="360" w:lineRule="auto"/>
        <w:rPr>
          <w:color w:val="auto"/>
          <w:sz w:val="28"/>
          <w:szCs w:val="28"/>
          <w:highlight w:val="none"/>
        </w:rPr>
      </w:pPr>
    </w:p>
    <w:p>
      <w:pPr>
        <w:spacing w:line="360" w:lineRule="auto"/>
        <w:jc w:val="left"/>
        <w:rPr>
          <w:color w:val="auto"/>
          <w:sz w:val="28"/>
          <w:szCs w:val="28"/>
          <w:highlight w:val="none"/>
        </w:rPr>
      </w:pPr>
      <w:r>
        <w:rPr>
          <w:rFonts w:hint="eastAsia"/>
          <w:color w:val="auto"/>
          <w:sz w:val="28"/>
          <w:szCs w:val="28"/>
          <w:highlight w:val="none"/>
        </w:rPr>
        <w:t>投标人：</w:t>
      </w:r>
      <w:r>
        <w:rPr>
          <w:rFonts w:hint="eastAsia"/>
          <w:color w:val="auto"/>
          <w:sz w:val="28"/>
          <w:szCs w:val="28"/>
          <w:highlight w:val="none"/>
          <w:u w:val="single"/>
        </w:rPr>
        <w:t xml:space="preserve">                                            </w:t>
      </w:r>
      <w:r>
        <w:rPr>
          <w:rFonts w:hint="eastAsia"/>
          <w:color w:val="auto"/>
          <w:sz w:val="28"/>
          <w:szCs w:val="28"/>
          <w:highlight w:val="none"/>
        </w:rPr>
        <w:t>（盖单位章）</w:t>
      </w:r>
    </w:p>
    <w:p>
      <w:pPr>
        <w:spacing w:line="360" w:lineRule="auto"/>
        <w:jc w:val="left"/>
        <w:rPr>
          <w:color w:val="auto"/>
          <w:sz w:val="28"/>
          <w:szCs w:val="28"/>
          <w:highlight w:val="none"/>
        </w:rPr>
      </w:pPr>
    </w:p>
    <w:p>
      <w:pPr>
        <w:spacing w:line="360" w:lineRule="auto"/>
        <w:jc w:val="left"/>
        <w:rPr>
          <w:color w:val="auto"/>
          <w:sz w:val="28"/>
          <w:szCs w:val="28"/>
          <w:highlight w:val="none"/>
        </w:rPr>
      </w:pPr>
      <w:r>
        <w:rPr>
          <w:rFonts w:hint="eastAsia"/>
          <w:color w:val="auto"/>
          <w:sz w:val="28"/>
          <w:szCs w:val="28"/>
          <w:highlight w:val="none"/>
        </w:rPr>
        <w:t>法定代表人或其委托代理人：</w:t>
      </w:r>
      <w:r>
        <w:rPr>
          <w:rFonts w:hint="eastAsia"/>
          <w:color w:val="auto"/>
          <w:sz w:val="28"/>
          <w:szCs w:val="28"/>
          <w:highlight w:val="none"/>
          <w:u w:val="single"/>
        </w:rPr>
        <w:t xml:space="preserve">                           </w:t>
      </w:r>
      <w:r>
        <w:rPr>
          <w:rFonts w:hint="eastAsia"/>
          <w:color w:val="auto"/>
          <w:sz w:val="28"/>
          <w:szCs w:val="28"/>
          <w:highlight w:val="none"/>
        </w:rPr>
        <w:t>（签字或盖章）</w:t>
      </w:r>
    </w:p>
    <w:p>
      <w:pPr>
        <w:spacing w:line="360" w:lineRule="auto"/>
        <w:jc w:val="left"/>
        <w:rPr>
          <w:color w:val="auto"/>
          <w:sz w:val="28"/>
          <w:szCs w:val="28"/>
          <w:highlight w:val="none"/>
        </w:rPr>
      </w:pPr>
    </w:p>
    <w:p>
      <w:pPr>
        <w:spacing w:line="360" w:lineRule="auto"/>
        <w:jc w:val="left"/>
        <w:rPr>
          <w:color w:val="auto"/>
          <w:sz w:val="28"/>
          <w:szCs w:val="28"/>
          <w:highlight w:val="none"/>
        </w:rPr>
      </w:pPr>
      <w:r>
        <w:rPr>
          <w:rFonts w:hint="eastAsia"/>
          <w:color w:val="auto"/>
          <w:sz w:val="28"/>
          <w:szCs w:val="28"/>
          <w:highlight w:val="none"/>
        </w:rPr>
        <w:t>编制时间：</w:t>
      </w:r>
      <w:r>
        <w:rPr>
          <w:rFonts w:hint="eastAsia"/>
          <w:color w:val="auto"/>
          <w:sz w:val="28"/>
          <w:szCs w:val="28"/>
          <w:highlight w:val="none"/>
          <w:u w:val="single"/>
        </w:rPr>
        <w:t xml:space="preserve">                                                </w:t>
      </w:r>
    </w:p>
    <w:p>
      <w:pPr>
        <w:spacing w:line="360" w:lineRule="auto"/>
        <w:jc w:val="left"/>
        <w:rPr>
          <w:color w:val="auto"/>
          <w:sz w:val="28"/>
          <w:szCs w:val="28"/>
          <w:highlight w:val="none"/>
        </w:rPr>
      </w:pPr>
    </w:p>
    <w:p>
      <w:pPr>
        <w:spacing w:line="360" w:lineRule="auto"/>
        <w:rPr>
          <w:color w:val="auto"/>
          <w:sz w:val="28"/>
          <w:szCs w:val="28"/>
          <w:highlight w:val="non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rPr>
          <w:rFonts w:ascii="宋体" w:hAnsi="宋体"/>
          <w:b/>
          <w:color w:val="auto"/>
          <w:sz w:val="32"/>
          <w:szCs w:val="32"/>
          <w:highlight w:val="none"/>
          <w:u w:val="single"/>
        </w:rPr>
      </w:pPr>
    </w:p>
    <w:p>
      <w:pPr>
        <w:spacing w:line="360" w:lineRule="exact"/>
        <w:ind w:firstLine="803" w:firstLineChars="250"/>
        <w:rPr>
          <w:rFonts w:ascii="宋体" w:hAnsi="宋体"/>
          <w:b/>
          <w:color w:val="auto"/>
          <w:sz w:val="32"/>
          <w:szCs w:val="32"/>
          <w:highlight w:val="none"/>
          <w:u w:val="single"/>
        </w:rPr>
      </w:pPr>
    </w:p>
    <w:p>
      <w:pPr>
        <w:spacing w:line="360" w:lineRule="exact"/>
        <w:ind w:firstLine="1104" w:firstLineChars="250"/>
        <w:jc w:val="center"/>
        <w:rPr>
          <w:rFonts w:ascii="黑体" w:eastAsia="黑体"/>
          <w:b/>
          <w:color w:val="auto"/>
          <w:sz w:val="44"/>
          <w:szCs w:val="44"/>
          <w:highlight w:val="none"/>
        </w:rPr>
      </w:pPr>
    </w:p>
    <w:p>
      <w:pPr>
        <w:spacing w:line="360" w:lineRule="exact"/>
        <w:ind w:firstLine="1767" w:firstLineChars="550"/>
        <w:rPr>
          <w:rFonts w:ascii="宋体" w:hAnsi="宋体"/>
          <w:b/>
          <w:color w:val="auto"/>
          <w:sz w:val="32"/>
          <w:szCs w:val="32"/>
          <w:highlight w:val="none"/>
        </w:rPr>
      </w:pP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（项目名称）</w:t>
      </w:r>
    </w:p>
    <w:p>
      <w:pPr>
        <w:spacing w:line="360" w:lineRule="exact"/>
        <w:ind w:firstLine="420" w:firstLineChars="200"/>
        <w:rPr>
          <w:rFonts w:ascii="宋体" w:hAnsi="宋体"/>
          <w:color w:val="auto"/>
          <w:szCs w:val="21"/>
          <w:highlight w:val="none"/>
        </w:rPr>
      </w:pPr>
    </w:p>
    <w:p>
      <w:pPr>
        <w:spacing w:line="360" w:lineRule="auto"/>
        <w:ind w:firstLine="1440" w:firstLineChars="200"/>
        <w:jc w:val="center"/>
        <w:rPr>
          <w:rFonts w:ascii="宋体" w:hAnsi="宋体"/>
          <w:color w:val="auto"/>
          <w:sz w:val="72"/>
          <w:szCs w:val="72"/>
          <w:highlight w:val="none"/>
        </w:rPr>
      </w:pPr>
    </w:p>
    <w:p>
      <w:pPr>
        <w:spacing w:line="360" w:lineRule="auto"/>
        <w:ind w:firstLine="1440" w:firstLineChars="200"/>
        <w:jc w:val="center"/>
        <w:rPr>
          <w:rFonts w:ascii="宋体" w:hAnsi="宋体"/>
          <w:color w:val="auto"/>
          <w:sz w:val="72"/>
          <w:szCs w:val="72"/>
          <w:highlight w:val="none"/>
        </w:rPr>
      </w:pPr>
    </w:p>
    <w:p>
      <w:pPr>
        <w:spacing w:line="360" w:lineRule="auto"/>
        <w:ind w:firstLine="1440" w:firstLineChars="200"/>
        <w:jc w:val="center"/>
        <w:rPr>
          <w:rFonts w:ascii="宋体" w:hAnsi="宋体"/>
          <w:color w:val="auto"/>
          <w:sz w:val="72"/>
          <w:szCs w:val="72"/>
          <w:highlight w:val="none"/>
        </w:rPr>
      </w:pPr>
    </w:p>
    <w:p>
      <w:pPr>
        <w:spacing w:line="360" w:lineRule="auto"/>
        <w:jc w:val="center"/>
        <w:rPr>
          <w:rFonts w:ascii="宋体" w:hAnsi="宋体"/>
          <w:color w:val="auto"/>
          <w:sz w:val="52"/>
          <w:szCs w:val="52"/>
          <w:highlight w:val="none"/>
        </w:rPr>
      </w:pPr>
      <w:r>
        <w:rPr>
          <w:rFonts w:hint="eastAsia" w:ascii="宋体" w:hAnsi="宋体"/>
          <w:color w:val="auto"/>
          <w:sz w:val="52"/>
          <w:szCs w:val="52"/>
          <w:highlight w:val="none"/>
        </w:rPr>
        <w:t>技术及资信标（含资格审查资料）</w:t>
      </w:r>
    </w:p>
    <w:p>
      <w:pPr>
        <w:spacing w:line="360" w:lineRule="auto"/>
        <w:jc w:val="center"/>
        <w:rPr>
          <w:rFonts w:ascii="宋体" w:hAnsi="宋体"/>
          <w:color w:val="auto"/>
          <w:sz w:val="52"/>
          <w:szCs w:val="52"/>
          <w:highlight w:val="none"/>
        </w:rPr>
      </w:pPr>
      <w:r>
        <w:rPr>
          <w:rFonts w:hint="eastAsia" w:ascii="宋体" w:hAnsi="宋体"/>
          <w:color w:val="auto"/>
          <w:sz w:val="52"/>
          <w:szCs w:val="52"/>
          <w:highlight w:val="none"/>
        </w:rPr>
        <w:t>投标文件</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jc w:val="center"/>
        <w:rPr>
          <w:rFonts w:ascii="宋体" w:hAnsi="宋体"/>
          <w:color w:val="auto"/>
          <w:sz w:val="28"/>
          <w:szCs w:val="28"/>
          <w:highlight w:val="none"/>
        </w:rPr>
      </w:pPr>
      <w:r>
        <w:rPr>
          <w:rFonts w:hint="eastAsia" w:ascii="宋体" w:hAnsi="宋体"/>
          <w:color w:val="auto"/>
          <w:sz w:val="28"/>
          <w:szCs w:val="28"/>
          <w:highlight w:val="none"/>
        </w:rPr>
        <w:t>投标人：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spacing w:line="360" w:lineRule="exact"/>
        <w:ind w:firstLine="560" w:firstLineChars="200"/>
        <w:rPr>
          <w:rFonts w:ascii="宋体" w:hAnsi="宋体"/>
          <w:color w:val="auto"/>
          <w:sz w:val="28"/>
          <w:szCs w:val="28"/>
          <w:highlight w:val="none"/>
        </w:rPr>
      </w:pPr>
    </w:p>
    <w:p>
      <w:pPr>
        <w:spacing w:line="360" w:lineRule="exact"/>
        <w:rPr>
          <w:rFonts w:ascii="宋体" w:hAnsi="宋体"/>
          <w:color w:val="auto"/>
          <w:sz w:val="28"/>
          <w:szCs w:val="28"/>
          <w:highlight w:val="none"/>
        </w:rPr>
      </w:pPr>
      <w:r>
        <w:rPr>
          <w:rFonts w:hint="eastAsia" w:ascii="宋体" w:hAnsi="宋体"/>
          <w:color w:val="auto"/>
          <w:sz w:val="28"/>
          <w:szCs w:val="28"/>
          <w:highlight w:val="none"/>
        </w:rPr>
        <w:t xml:space="preserve">             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p>
    <w:p>
      <w:pPr>
        <w:spacing w:line="360" w:lineRule="exact"/>
        <w:jc w:val="center"/>
        <w:rPr>
          <w:rFonts w:ascii="宋体" w:hAnsi="宋体"/>
          <w:color w:val="auto"/>
          <w:szCs w:val="21"/>
          <w:highlight w:val="none"/>
          <w:u w:val="single"/>
        </w:rPr>
      </w:pPr>
    </w:p>
    <w:p>
      <w:pPr>
        <w:spacing w:line="360" w:lineRule="exact"/>
        <w:jc w:val="center"/>
        <w:rPr>
          <w:rFonts w:ascii="宋体" w:hAnsi="宋体"/>
          <w:color w:val="auto"/>
          <w:szCs w:val="21"/>
          <w:highlight w:val="none"/>
        </w:rPr>
        <w:sectPr>
          <w:pgSz w:w="11906" w:h="16838"/>
          <w:pgMar w:top="1418" w:right="1134" w:bottom="1418" w:left="1134" w:header="851" w:footer="992" w:gutter="0"/>
          <w:cols w:space="720" w:num="1"/>
          <w:docGrid w:type="lines" w:linePitch="312" w:charSpace="0"/>
        </w:sectPr>
      </w:pPr>
      <w:r>
        <w:rPr>
          <w:rFonts w:hint="eastAsia" w:ascii="宋体" w:hAnsi="宋体"/>
          <w:color w:val="auto"/>
          <w:szCs w:val="21"/>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360" w:lineRule="exact"/>
        <w:jc w:val="center"/>
        <w:rPr>
          <w:rFonts w:eastAsia="方正魏碑简体"/>
          <w:b/>
          <w:bCs/>
          <w:color w:val="auto"/>
          <w:sz w:val="44"/>
          <w:highlight w:val="none"/>
        </w:rPr>
      </w:pPr>
    </w:p>
    <w:p>
      <w:pPr>
        <w:spacing w:line="360" w:lineRule="auto"/>
        <w:jc w:val="center"/>
        <w:rPr>
          <w:rFonts w:eastAsia="方正魏碑简体"/>
          <w:b/>
          <w:bCs/>
          <w:color w:val="auto"/>
          <w:sz w:val="44"/>
          <w:highlight w:val="none"/>
        </w:rPr>
      </w:pPr>
      <w:r>
        <w:rPr>
          <w:rFonts w:hint="eastAsia" w:eastAsia="方正魏碑简体"/>
          <w:b/>
          <w:bCs/>
          <w:color w:val="auto"/>
          <w:sz w:val="44"/>
          <w:highlight w:val="none"/>
        </w:rPr>
        <w:t>目    录</w:t>
      </w:r>
    </w:p>
    <w:p>
      <w:pPr>
        <w:spacing w:line="360" w:lineRule="auto"/>
        <w:ind w:firstLine="482" w:firstLineChars="150"/>
        <w:rPr>
          <w:b/>
          <w:color w:val="auto"/>
          <w:sz w:val="32"/>
          <w:highlight w:val="none"/>
        </w:rPr>
      </w:pPr>
      <w:r>
        <w:rPr>
          <w:rFonts w:hint="eastAsia"/>
          <w:b/>
          <w:color w:val="auto"/>
          <w:sz w:val="32"/>
          <w:highlight w:val="none"/>
        </w:rPr>
        <w:t>一、资格审查资料（复印件须加盖单位章）</w:t>
      </w:r>
    </w:p>
    <w:p>
      <w:pPr>
        <w:spacing w:line="360" w:lineRule="auto"/>
        <w:ind w:firstLine="539"/>
        <w:rPr>
          <w:color w:val="auto"/>
          <w:sz w:val="24"/>
          <w:highlight w:val="none"/>
        </w:rPr>
      </w:pPr>
      <w:r>
        <w:rPr>
          <w:rFonts w:hint="eastAsia"/>
          <w:color w:val="auto"/>
          <w:sz w:val="24"/>
          <w:highlight w:val="none"/>
        </w:rPr>
        <w:t>1、法定代表人身份证明或法人代表授权委托书（表1-1、表1-2）</w:t>
      </w:r>
    </w:p>
    <w:p>
      <w:pPr>
        <w:spacing w:line="360" w:lineRule="auto"/>
        <w:ind w:firstLine="539"/>
        <w:rPr>
          <w:color w:val="auto"/>
          <w:sz w:val="24"/>
          <w:highlight w:val="none"/>
        </w:rPr>
      </w:pPr>
      <w:r>
        <w:rPr>
          <w:rFonts w:hint="eastAsia"/>
          <w:color w:val="auto"/>
          <w:sz w:val="24"/>
          <w:highlight w:val="none"/>
        </w:rPr>
        <w:t>2、资格审查申请表（表2）</w:t>
      </w:r>
    </w:p>
    <w:p>
      <w:pPr>
        <w:spacing w:line="360" w:lineRule="auto"/>
        <w:ind w:firstLine="539"/>
        <w:rPr>
          <w:color w:val="auto"/>
          <w:sz w:val="24"/>
          <w:highlight w:val="none"/>
        </w:rPr>
      </w:pPr>
      <w:r>
        <w:rPr>
          <w:rFonts w:hint="eastAsia"/>
          <w:color w:val="auto"/>
          <w:sz w:val="24"/>
          <w:highlight w:val="none"/>
        </w:rPr>
        <w:t>3、强制性资格条件表及相关附件（表3-1</w:t>
      </w:r>
      <w:r>
        <w:rPr>
          <w:rFonts w:hint="eastAsia"/>
          <w:color w:val="auto"/>
          <w:sz w:val="24"/>
          <w:highlight w:val="none"/>
          <w:lang w:eastAsia="zh-CN"/>
        </w:rPr>
        <w:t>、</w:t>
      </w:r>
      <w:r>
        <w:rPr>
          <w:rFonts w:hint="eastAsia"/>
          <w:color w:val="auto"/>
          <w:sz w:val="24"/>
          <w:highlight w:val="none"/>
        </w:rPr>
        <w:t>表3-</w:t>
      </w:r>
      <w:r>
        <w:rPr>
          <w:rFonts w:hint="eastAsia"/>
          <w:color w:val="auto"/>
          <w:sz w:val="24"/>
          <w:highlight w:val="none"/>
          <w:lang w:val="en-US" w:eastAsia="zh-CN"/>
        </w:rPr>
        <w:t>2</w:t>
      </w:r>
      <w:r>
        <w:rPr>
          <w:rFonts w:hint="eastAsia"/>
          <w:color w:val="auto"/>
          <w:sz w:val="24"/>
          <w:highlight w:val="none"/>
        </w:rPr>
        <w:t>）</w:t>
      </w:r>
    </w:p>
    <w:p>
      <w:pPr>
        <w:spacing w:line="360" w:lineRule="auto"/>
        <w:ind w:firstLine="539"/>
        <w:rPr>
          <w:color w:val="auto"/>
          <w:sz w:val="24"/>
          <w:highlight w:val="none"/>
        </w:rPr>
      </w:pPr>
      <w:r>
        <w:rPr>
          <w:rFonts w:hint="eastAsia"/>
          <w:color w:val="auto"/>
          <w:sz w:val="24"/>
          <w:highlight w:val="none"/>
        </w:rPr>
        <w:t>4、派驻本工程监理人员汇总表（表3-3）</w:t>
      </w:r>
    </w:p>
    <w:p>
      <w:pPr>
        <w:spacing w:line="360" w:lineRule="auto"/>
        <w:ind w:firstLine="539"/>
        <w:rPr>
          <w:color w:val="auto"/>
          <w:sz w:val="24"/>
          <w:highlight w:val="none"/>
        </w:rPr>
      </w:pPr>
      <w:r>
        <w:rPr>
          <w:rFonts w:hint="eastAsia"/>
          <w:color w:val="auto"/>
          <w:sz w:val="24"/>
          <w:highlight w:val="none"/>
        </w:rPr>
        <w:t>5、投标人基本情况表 （表4）</w:t>
      </w:r>
    </w:p>
    <w:p>
      <w:pPr>
        <w:spacing w:line="360" w:lineRule="auto"/>
        <w:ind w:firstLine="539"/>
        <w:rPr>
          <w:rFonts w:hint="eastAsia"/>
          <w:color w:val="auto"/>
          <w:sz w:val="24"/>
          <w:highlight w:val="none"/>
        </w:rPr>
      </w:pPr>
      <w:r>
        <w:rPr>
          <w:rFonts w:hint="eastAsia"/>
          <w:color w:val="auto"/>
          <w:sz w:val="24"/>
          <w:highlight w:val="none"/>
        </w:rPr>
        <w:t>6、投入本工程检测仪器、设备汇总表（表5）</w:t>
      </w:r>
    </w:p>
    <w:p>
      <w:pPr>
        <w:spacing w:line="360" w:lineRule="auto"/>
        <w:ind w:firstLine="539"/>
        <w:rPr>
          <w:rFonts w:hint="eastAsia" w:eastAsia="宋体"/>
          <w:color w:val="auto"/>
          <w:sz w:val="24"/>
          <w:highlight w:val="none"/>
          <w:lang w:val="en-US" w:eastAsia="zh-CN"/>
        </w:rPr>
      </w:pPr>
      <w:r>
        <w:rPr>
          <w:rFonts w:hint="eastAsia"/>
          <w:color w:val="auto"/>
          <w:sz w:val="24"/>
          <w:highlight w:val="none"/>
          <w:lang w:val="en-US" w:eastAsia="zh-CN"/>
        </w:rPr>
        <w:t>7、人员配备承诺书</w:t>
      </w:r>
      <w:r>
        <w:rPr>
          <w:rFonts w:hint="eastAsia"/>
          <w:color w:val="auto"/>
          <w:sz w:val="24"/>
          <w:highlight w:val="none"/>
        </w:rPr>
        <w:t>（表</w:t>
      </w:r>
      <w:r>
        <w:rPr>
          <w:rFonts w:hint="eastAsia"/>
          <w:color w:val="auto"/>
          <w:sz w:val="24"/>
          <w:highlight w:val="none"/>
          <w:lang w:val="en-US" w:eastAsia="zh-CN"/>
        </w:rPr>
        <w:t>6</w:t>
      </w:r>
      <w:r>
        <w:rPr>
          <w:rFonts w:hint="eastAsia"/>
          <w:color w:val="auto"/>
          <w:sz w:val="24"/>
          <w:highlight w:val="none"/>
        </w:rPr>
        <w:t>）</w:t>
      </w:r>
    </w:p>
    <w:p>
      <w:pPr>
        <w:spacing w:line="360" w:lineRule="auto"/>
        <w:ind w:firstLine="539"/>
        <w:rPr>
          <w:color w:val="auto"/>
          <w:sz w:val="24"/>
          <w:highlight w:val="none"/>
        </w:rPr>
      </w:pPr>
      <w:r>
        <w:rPr>
          <w:rFonts w:hint="eastAsia"/>
          <w:color w:val="auto"/>
          <w:sz w:val="24"/>
          <w:highlight w:val="none"/>
          <w:lang w:val="en-US" w:eastAsia="zh-CN"/>
        </w:rPr>
        <w:t>8</w:t>
      </w:r>
      <w:r>
        <w:rPr>
          <w:rFonts w:hint="eastAsia"/>
          <w:color w:val="auto"/>
          <w:sz w:val="24"/>
          <w:highlight w:val="none"/>
        </w:rPr>
        <w:t>、投标保证金缴纳凭证（或婺城区年度投标保证金缴纳证明）和企业基本账户开户许可证（或基本存款账户信息）复印件</w:t>
      </w:r>
    </w:p>
    <w:p>
      <w:pPr>
        <w:spacing w:line="360" w:lineRule="auto"/>
        <w:ind w:firstLine="539"/>
        <w:rPr>
          <w:color w:val="auto"/>
          <w:sz w:val="24"/>
          <w:highlight w:val="none"/>
        </w:rPr>
      </w:pPr>
      <w:r>
        <w:rPr>
          <w:rFonts w:hint="eastAsia"/>
          <w:color w:val="auto"/>
          <w:sz w:val="24"/>
          <w:highlight w:val="none"/>
          <w:lang w:val="en-US" w:eastAsia="zh-CN"/>
        </w:rPr>
        <w:t>9</w:t>
      </w:r>
      <w:r>
        <w:rPr>
          <w:rFonts w:hint="eastAsia"/>
          <w:color w:val="auto"/>
          <w:sz w:val="24"/>
          <w:highlight w:val="none"/>
        </w:rPr>
        <w:t>、项目总监</w:t>
      </w:r>
      <w:r>
        <w:rPr>
          <w:rFonts w:hint="eastAsia"/>
          <w:color w:val="auto"/>
          <w:sz w:val="24"/>
          <w:highlight w:val="none"/>
          <w:lang w:eastAsia="zh-CN"/>
        </w:rPr>
        <w:t>及其他</w:t>
      </w:r>
      <w:r>
        <w:rPr>
          <w:rFonts w:hint="eastAsia"/>
          <w:color w:val="auto"/>
          <w:sz w:val="24"/>
          <w:highlight w:val="none"/>
        </w:rPr>
        <w:t>派驻本工程监理人员</w:t>
      </w:r>
      <w:r>
        <w:rPr>
          <w:rFonts w:hint="eastAsia"/>
          <w:color w:val="auto"/>
          <w:sz w:val="24"/>
          <w:highlight w:val="none"/>
        </w:rPr>
        <w:t>须为本单位在册人员证明（分别提供社保处出具的</w:t>
      </w:r>
      <w:r>
        <w:rPr>
          <w:rFonts w:hint="eastAsia"/>
          <w:color w:val="auto"/>
          <w:sz w:val="24"/>
          <w:highlight w:val="none"/>
          <w:lang w:eastAsia="zh-CN"/>
        </w:rPr>
        <w:t>2021年1月-3月</w:t>
      </w:r>
      <w:r>
        <w:rPr>
          <w:rFonts w:hint="eastAsia"/>
          <w:color w:val="auto"/>
          <w:sz w:val="24"/>
          <w:highlight w:val="none"/>
        </w:rPr>
        <w:t>连续3个月养老保险缴纳清单或个人缴纳对账单）</w:t>
      </w:r>
    </w:p>
    <w:p>
      <w:pPr>
        <w:spacing w:line="360" w:lineRule="auto"/>
        <w:ind w:firstLine="539"/>
        <w:rPr>
          <w:color w:val="auto"/>
          <w:sz w:val="24"/>
          <w:highlight w:val="none"/>
        </w:rPr>
      </w:pPr>
      <w:r>
        <w:rPr>
          <w:rFonts w:hint="eastAsia"/>
          <w:color w:val="auto"/>
          <w:sz w:val="24"/>
          <w:highlight w:val="none"/>
          <w:lang w:val="en-US" w:eastAsia="zh-CN"/>
        </w:rPr>
        <w:t>10</w:t>
      </w:r>
      <w:r>
        <w:rPr>
          <w:rFonts w:hint="eastAsia"/>
          <w:color w:val="auto"/>
          <w:sz w:val="24"/>
          <w:highlight w:val="none"/>
        </w:rPr>
        <w:t>、投标人须提供自招标公告发布之日起至投标截止时间止期间于“金华市建筑市场监督管理信息系统”中下载的《金华市建筑业企业信息表》（信息表中登记的企业资质类别及等级满足本工程招标要求）</w:t>
      </w:r>
    </w:p>
    <w:p>
      <w:pPr>
        <w:spacing w:line="360" w:lineRule="auto"/>
        <w:ind w:firstLine="539"/>
        <w:rPr>
          <w:color w:val="auto"/>
          <w:sz w:val="24"/>
          <w:highlight w:val="none"/>
        </w:rPr>
      </w:pPr>
      <w:r>
        <w:rPr>
          <w:rFonts w:hint="eastAsia"/>
          <w:color w:val="auto"/>
          <w:sz w:val="24"/>
          <w:highlight w:val="none"/>
        </w:rPr>
        <w:t>1</w:t>
      </w:r>
      <w:r>
        <w:rPr>
          <w:rFonts w:hint="eastAsia"/>
          <w:color w:val="auto"/>
          <w:sz w:val="24"/>
          <w:highlight w:val="none"/>
          <w:lang w:val="en-US" w:eastAsia="zh-CN"/>
        </w:rPr>
        <w:t>1</w:t>
      </w:r>
      <w:r>
        <w:rPr>
          <w:rFonts w:hint="eastAsia"/>
          <w:color w:val="auto"/>
          <w:sz w:val="24"/>
          <w:highlight w:val="none"/>
        </w:rPr>
        <w:t>、投标人认为应附的其它材料。</w:t>
      </w:r>
    </w:p>
    <w:p>
      <w:pPr>
        <w:spacing w:line="360" w:lineRule="auto"/>
        <w:ind w:left="1384" w:leftChars="200" w:hanging="964" w:hangingChars="300"/>
        <w:rPr>
          <w:b/>
          <w:color w:val="auto"/>
          <w:sz w:val="32"/>
          <w:highlight w:val="none"/>
        </w:rPr>
      </w:pPr>
      <w:r>
        <w:rPr>
          <w:rFonts w:hint="eastAsia"/>
          <w:b/>
          <w:color w:val="auto"/>
          <w:sz w:val="32"/>
          <w:highlight w:val="none"/>
        </w:rPr>
        <w:t>二、技术及资信资料</w:t>
      </w:r>
    </w:p>
    <w:p>
      <w:pPr>
        <w:spacing w:line="360" w:lineRule="auto"/>
        <w:ind w:firstLine="539"/>
        <w:rPr>
          <w:color w:val="auto"/>
          <w:sz w:val="24"/>
          <w:highlight w:val="none"/>
        </w:rPr>
      </w:pPr>
      <w:r>
        <w:rPr>
          <w:rFonts w:hint="eastAsia"/>
          <w:color w:val="auto"/>
          <w:sz w:val="24"/>
          <w:highlight w:val="none"/>
          <w:lang w:val="en-US" w:eastAsia="zh-CN"/>
        </w:rPr>
        <w:t>1</w:t>
      </w:r>
      <w:r>
        <w:rPr>
          <w:rFonts w:hint="eastAsia"/>
          <w:color w:val="auto"/>
          <w:sz w:val="24"/>
          <w:highlight w:val="none"/>
        </w:rPr>
        <w:t>、资信标自评分表（复印件须加盖单位章）；</w:t>
      </w:r>
    </w:p>
    <w:p>
      <w:pPr>
        <w:spacing w:line="360" w:lineRule="auto"/>
        <w:ind w:firstLine="539"/>
        <w:rPr>
          <w:color w:val="auto"/>
          <w:sz w:val="24"/>
          <w:highlight w:val="none"/>
        </w:rPr>
      </w:pPr>
      <w:r>
        <w:rPr>
          <w:rFonts w:hint="eastAsia"/>
          <w:color w:val="auto"/>
          <w:sz w:val="24"/>
          <w:highlight w:val="none"/>
          <w:lang w:val="en-US" w:eastAsia="zh-CN"/>
        </w:rPr>
        <w:t>2</w:t>
      </w:r>
      <w:r>
        <w:rPr>
          <w:rFonts w:hint="eastAsia"/>
          <w:color w:val="auto"/>
          <w:sz w:val="24"/>
          <w:highlight w:val="none"/>
        </w:rPr>
        <w:t>、资信标</w:t>
      </w:r>
      <w:r>
        <w:rPr>
          <w:rFonts w:hint="eastAsia"/>
          <w:color w:val="auto"/>
          <w:sz w:val="24"/>
          <w:highlight w:val="none"/>
          <w:lang w:eastAsia="zh-CN"/>
        </w:rPr>
        <w:t>评审中要求提供的内容，未提供或未按要求提供的不得分</w:t>
      </w:r>
      <w:r>
        <w:rPr>
          <w:rFonts w:hint="eastAsia"/>
          <w:color w:val="auto"/>
          <w:sz w:val="24"/>
          <w:highlight w:val="none"/>
        </w:rPr>
        <w:t>（复印件须加盖单位章）；</w:t>
      </w:r>
    </w:p>
    <w:p>
      <w:pPr>
        <w:spacing w:line="360" w:lineRule="auto"/>
        <w:ind w:firstLine="539"/>
        <w:rPr>
          <w:color w:val="auto"/>
          <w:sz w:val="24"/>
          <w:highlight w:val="none"/>
        </w:rPr>
      </w:pPr>
      <w:r>
        <w:rPr>
          <w:rFonts w:hint="eastAsia"/>
          <w:color w:val="auto"/>
          <w:sz w:val="24"/>
          <w:highlight w:val="none"/>
          <w:lang w:val="en-US" w:eastAsia="zh-CN"/>
        </w:rPr>
        <w:t>3</w:t>
      </w:r>
      <w:r>
        <w:rPr>
          <w:rFonts w:hint="eastAsia"/>
          <w:color w:val="auto"/>
          <w:sz w:val="24"/>
          <w:highlight w:val="none"/>
        </w:rPr>
        <w:t>、技术标</w:t>
      </w:r>
      <w:r>
        <w:rPr>
          <w:rFonts w:hint="eastAsia"/>
          <w:color w:val="auto"/>
          <w:sz w:val="24"/>
          <w:highlight w:val="none"/>
          <w:lang w:eastAsia="zh-CN"/>
        </w:rPr>
        <w:t>评审中要求提供的内容，未提供或未按要求提供的不得分</w:t>
      </w:r>
      <w:r>
        <w:rPr>
          <w:rFonts w:hint="eastAsia"/>
          <w:color w:val="auto"/>
          <w:sz w:val="24"/>
          <w:highlight w:val="none"/>
        </w:rPr>
        <w:t>；</w:t>
      </w:r>
    </w:p>
    <w:p>
      <w:pPr>
        <w:spacing w:line="360" w:lineRule="auto"/>
        <w:ind w:firstLine="539"/>
        <w:rPr>
          <w:color w:val="auto"/>
          <w:sz w:val="24"/>
          <w:highlight w:val="none"/>
        </w:rPr>
      </w:pPr>
      <w:r>
        <w:rPr>
          <w:rFonts w:hint="eastAsia"/>
          <w:color w:val="auto"/>
          <w:sz w:val="24"/>
          <w:highlight w:val="none"/>
        </w:rPr>
        <w:t>4、投标人认为应附的其它材料。</w:t>
      </w:r>
    </w:p>
    <w:p>
      <w:pPr>
        <w:spacing w:line="360" w:lineRule="auto"/>
        <w:ind w:firstLine="899" w:firstLineChars="281"/>
        <w:rPr>
          <w:color w:val="auto"/>
          <w:sz w:val="32"/>
          <w:highlight w:val="none"/>
        </w:rPr>
      </w:pPr>
      <w:r>
        <w:rPr>
          <w:rFonts w:hint="eastAsia"/>
          <w:color w:val="auto"/>
          <w:sz w:val="32"/>
          <w:highlight w:val="none"/>
        </w:rPr>
        <w:t xml:space="preserve"> </w:t>
      </w:r>
    </w:p>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 </w:t>
      </w:r>
    </w:p>
    <w:p>
      <w:pPr>
        <w:pStyle w:val="6"/>
        <w:jc w:val="left"/>
        <w:rPr>
          <w:rFonts w:ascii="宋体" w:hAnsi="宋体"/>
          <w:color w:val="auto"/>
          <w:szCs w:val="24"/>
          <w:highlight w:val="none"/>
        </w:rPr>
      </w:pPr>
      <w:bookmarkStart w:id="35" w:name="_Toc403986569"/>
      <w:r>
        <w:rPr>
          <w:rFonts w:hint="eastAsia" w:ascii="宋体" w:hAnsi="宋体"/>
          <w:color w:val="auto"/>
          <w:szCs w:val="24"/>
          <w:highlight w:val="none"/>
        </w:rPr>
        <w:t>表1-1</w:t>
      </w:r>
    </w:p>
    <w:p>
      <w:pPr>
        <w:pStyle w:val="6"/>
        <w:jc w:val="center"/>
        <w:rPr>
          <w:rFonts w:ascii="宋体" w:hAnsi="宋体"/>
          <w:color w:val="auto"/>
          <w:sz w:val="36"/>
          <w:szCs w:val="24"/>
          <w:highlight w:val="none"/>
        </w:rPr>
      </w:pPr>
      <w:r>
        <w:rPr>
          <w:rFonts w:hint="eastAsia" w:ascii="宋体" w:hAnsi="宋体"/>
          <w:color w:val="auto"/>
          <w:sz w:val="36"/>
          <w:szCs w:val="24"/>
          <w:highlight w:val="none"/>
        </w:rPr>
        <w:t>法定代表人身份证明</w:t>
      </w:r>
      <w:bookmarkEnd w:id="35"/>
    </w:p>
    <w:p>
      <w:pPr>
        <w:spacing w:line="360" w:lineRule="auto"/>
        <w:ind w:firstLine="420" w:firstLineChars="200"/>
        <w:rPr>
          <w:rFonts w:ascii="宋体" w:hAnsi="宋体"/>
          <w:color w:val="auto"/>
          <w:szCs w:val="21"/>
          <w:highlight w:val="none"/>
        </w:rPr>
      </w:pP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投标人名称：</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 xml:space="preserve"> </w:t>
      </w: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单位性质：</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 xml:space="preserve"> </w:t>
      </w: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地址：</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 xml:space="preserve"> </w:t>
      </w: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成立时间：</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年</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月</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日</w:t>
      </w: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经营期限：</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 xml:space="preserve"> </w:t>
      </w: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姓名：</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性别：</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年龄：</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职务：</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_</w:t>
      </w:r>
    </w:p>
    <w:p>
      <w:pPr>
        <w:spacing w:line="360" w:lineRule="auto"/>
        <w:ind w:firstLine="520" w:firstLineChars="200"/>
        <w:rPr>
          <w:rFonts w:ascii="宋体" w:hAnsi="宋体"/>
          <w:color w:val="auto"/>
          <w:sz w:val="26"/>
          <w:szCs w:val="26"/>
          <w:highlight w:val="none"/>
        </w:rPr>
      </w:pPr>
      <w:r>
        <w:rPr>
          <w:rFonts w:hint="eastAsia" w:ascii="宋体" w:hAnsi="宋体"/>
          <w:color w:val="auto"/>
          <w:sz w:val="26"/>
          <w:szCs w:val="26"/>
          <w:highlight w:val="none"/>
        </w:rPr>
        <w:t>系</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（投标人名称）的法定代表人。</w:t>
      </w:r>
    </w:p>
    <w:p>
      <w:pPr>
        <w:spacing w:line="360" w:lineRule="auto"/>
        <w:ind w:firstLine="1040" w:firstLineChars="400"/>
        <w:rPr>
          <w:rFonts w:ascii="宋体" w:hAnsi="宋体"/>
          <w:color w:val="auto"/>
          <w:sz w:val="26"/>
          <w:szCs w:val="26"/>
          <w:highlight w:val="none"/>
        </w:rPr>
      </w:pPr>
      <w:r>
        <w:rPr>
          <w:rFonts w:hint="eastAsia" w:ascii="宋体" w:hAnsi="宋体"/>
          <w:color w:val="auto"/>
          <w:sz w:val="26"/>
          <w:szCs w:val="26"/>
          <w:highlight w:val="none"/>
        </w:rPr>
        <w:t>特此证明。</w:t>
      </w:r>
    </w:p>
    <w:p>
      <w:pPr>
        <w:spacing w:line="360" w:lineRule="auto"/>
        <w:ind w:firstLine="520" w:firstLineChars="200"/>
        <w:rPr>
          <w:rFonts w:ascii="宋体" w:hAnsi="宋体"/>
          <w:color w:val="auto"/>
          <w:sz w:val="26"/>
          <w:szCs w:val="26"/>
          <w:highlight w:val="none"/>
        </w:rPr>
      </w:pPr>
    </w:p>
    <w:p>
      <w:pPr>
        <w:spacing w:line="360" w:lineRule="auto"/>
        <w:ind w:firstLine="520" w:firstLineChars="200"/>
        <w:rPr>
          <w:rFonts w:ascii="宋体" w:hAnsi="宋体"/>
          <w:color w:val="auto"/>
          <w:sz w:val="26"/>
          <w:szCs w:val="26"/>
          <w:highlight w:val="none"/>
        </w:rPr>
      </w:pPr>
    </w:p>
    <w:p>
      <w:pPr>
        <w:spacing w:line="360" w:lineRule="auto"/>
        <w:ind w:firstLine="4420" w:firstLineChars="1700"/>
        <w:rPr>
          <w:rFonts w:ascii="宋体" w:hAnsi="宋体"/>
          <w:color w:val="auto"/>
          <w:sz w:val="26"/>
          <w:szCs w:val="26"/>
          <w:highlight w:val="none"/>
        </w:rPr>
      </w:pPr>
      <w:r>
        <w:rPr>
          <w:rFonts w:hint="eastAsia" w:ascii="宋体" w:hAnsi="宋体"/>
          <w:color w:val="auto"/>
          <w:sz w:val="26"/>
          <w:szCs w:val="26"/>
          <w:highlight w:val="none"/>
        </w:rPr>
        <w:t>投标人：</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（盖单位章）</w:t>
      </w:r>
    </w:p>
    <w:p>
      <w:pPr>
        <w:spacing w:line="360" w:lineRule="auto"/>
        <w:ind w:firstLine="5590" w:firstLineChars="2150"/>
        <w:rPr>
          <w:rFonts w:ascii="宋体" w:hAnsi="宋体"/>
          <w:color w:val="auto"/>
          <w:sz w:val="26"/>
          <w:szCs w:val="26"/>
          <w:highlight w:val="none"/>
          <w:u w:val="single"/>
        </w:rPr>
      </w:pPr>
    </w:p>
    <w:p>
      <w:pPr>
        <w:spacing w:line="360" w:lineRule="auto"/>
        <w:ind w:firstLine="4940" w:firstLineChars="1900"/>
        <w:rPr>
          <w:rFonts w:ascii="宋体" w:hAnsi="宋体"/>
          <w:color w:val="auto"/>
          <w:sz w:val="26"/>
          <w:szCs w:val="26"/>
          <w:highlight w:val="none"/>
        </w:rPr>
      </w:pP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年</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月</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日</w:t>
      </w:r>
    </w:p>
    <w:p>
      <w:pPr>
        <w:spacing w:line="360" w:lineRule="auto"/>
        <w:ind w:firstLine="432"/>
        <w:jc w:val="center"/>
        <w:rPr>
          <w:rFonts w:ascii="宋体" w:hAnsi="宋体"/>
          <w:b/>
          <w:bCs/>
          <w:color w:val="auto"/>
          <w:sz w:val="36"/>
          <w:highlight w:val="none"/>
        </w:rPr>
      </w:pPr>
    </w:p>
    <w:p>
      <w:pPr>
        <w:spacing w:line="360" w:lineRule="auto"/>
        <w:ind w:firstLine="432"/>
        <w:jc w:val="center"/>
        <w:rPr>
          <w:rFonts w:ascii="宋体" w:hAnsi="宋体"/>
          <w:b/>
          <w:bCs/>
          <w:color w:val="auto"/>
          <w:sz w:val="36"/>
          <w:highlight w:val="none"/>
        </w:rPr>
      </w:pPr>
    </w:p>
    <w:p>
      <w:pPr>
        <w:spacing w:line="360" w:lineRule="auto"/>
        <w:ind w:firstLine="432"/>
        <w:jc w:val="center"/>
        <w:rPr>
          <w:rFonts w:ascii="宋体" w:hAnsi="宋体"/>
          <w:b/>
          <w:bCs/>
          <w:color w:val="auto"/>
          <w:sz w:val="36"/>
          <w:highlight w:val="none"/>
        </w:rPr>
      </w:pPr>
    </w:p>
    <w:p>
      <w:pPr>
        <w:pStyle w:val="2"/>
        <w:rPr>
          <w:rFonts w:ascii="宋体" w:hAnsi="宋体"/>
          <w:b/>
          <w:bCs/>
          <w:color w:val="auto"/>
          <w:sz w:val="36"/>
          <w:highlight w:val="none"/>
        </w:rPr>
      </w:pPr>
    </w:p>
    <w:p>
      <w:pPr>
        <w:pStyle w:val="2"/>
        <w:rPr>
          <w:rFonts w:ascii="宋体" w:hAnsi="宋体"/>
          <w:b/>
          <w:bCs/>
          <w:color w:val="auto"/>
          <w:sz w:val="36"/>
          <w:highlight w:val="none"/>
        </w:rPr>
      </w:pPr>
    </w:p>
    <w:p>
      <w:pPr>
        <w:spacing w:line="360" w:lineRule="auto"/>
        <w:rPr>
          <w:rFonts w:ascii="宋体" w:hAnsi="宋体"/>
          <w:b/>
          <w:bCs/>
          <w:color w:val="auto"/>
          <w:sz w:val="36"/>
          <w:highlight w:val="none"/>
        </w:rPr>
      </w:pPr>
    </w:p>
    <w:p>
      <w:pPr>
        <w:pStyle w:val="6"/>
        <w:jc w:val="left"/>
        <w:rPr>
          <w:rFonts w:ascii="宋体" w:hAnsi="宋体"/>
          <w:color w:val="auto"/>
          <w:szCs w:val="24"/>
          <w:highlight w:val="none"/>
        </w:rPr>
      </w:pPr>
      <w:bookmarkStart w:id="36" w:name="_Toc403986570"/>
      <w:r>
        <w:rPr>
          <w:rFonts w:hint="eastAsia" w:ascii="宋体" w:hAnsi="宋体"/>
          <w:color w:val="auto"/>
          <w:szCs w:val="24"/>
          <w:highlight w:val="none"/>
        </w:rPr>
        <w:t>表1-2</w:t>
      </w:r>
    </w:p>
    <w:p>
      <w:pPr>
        <w:pStyle w:val="6"/>
        <w:jc w:val="center"/>
        <w:rPr>
          <w:rFonts w:ascii="宋体" w:hAnsi="宋体"/>
          <w:color w:val="auto"/>
          <w:sz w:val="36"/>
          <w:szCs w:val="24"/>
          <w:highlight w:val="none"/>
        </w:rPr>
      </w:pPr>
      <w:r>
        <w:rPr>
          <w:rFonts w:hint="eastAsia" w:ascii="宋体" w:hAnsi="宋体"/>
          <w:color w:val="auto"/>
          <w:sz w:val="36"/>
          <w:szCs w:val="24"/>
          <w:highlight w:val="none"/>
        </w:rPr>
        <w:t>法人代表授权委托书</w:t>
      </w:r>
      <w:bookmarkEnd w:id="36"/>
    </w:p>
    <w:p>
      <w:pPr>
        <w:spacing w:line="360" w:lineRule="auto"/>
        <w:ind w:firstLine="432"/>
        <w:jc w:val="center"/>
        <w:rPr>
          <w:rFonts w:ascii="宋体" w:hAnsi="宋体"/>
          <w:b/>
          <w:bCs/>
          <w:color w:val="auto"/>
          <w:sz w:val="36"/>
          <w:highlight w:val="none"/>
        </w:rPr>
      </w:pPr>
    </w:p>
    <w:p>
      <w:pPr>
        <w:pStyle w:val="11"/>
        <w:spacing w:line="360" w:lineRule="auto"/>
        <w:ind w:right="21" w:rightChars="10" w:firstLine="525"/>
        <w:rPr>
          <w:rFonts w:hAnsi="宋体"/>
          <w:color w:val="auto"/>
          <w:sz w:val="26"/>
          <w:highlight w:val="none"/>
        </w:rPr>
      </w:pPr>
      <w:r>
        <w:rPr>
          <w:rFonts w:hint="eastAsia" w:hAnsi="宋体"/>
          <w:color w:val="auto"/>
          <w:sz w:val="26"/>
          <w:highlight w:val="none"/>
        </w:rPr>
        <w:t>本授权委托书声明：我</w:t>
      </w:r>
      <w:r>
        <w:rPr>
          <w:rFonts w:hint="eastAsia" w:hAnsi="宋体"/>
          <w:color w:val="auto"/>
          <w:sz w:val="26"/>
          <w:highlight w:val="none"/>
          <w:u w:val="single"/>
        </w:rPr>
        <w:t>　　　</w:t>
      </w:r>
      <w:r>
        <w:rPr>
          <w:rFonts w:hint="eastAsia" w:hAnsi="宋体"/>
          <w:color w:val="auto"/>
          <w:sz w:val="26"/>
          <w:highlight w:val="none"/>
        </w:rPr>
        <w:t>（姓名）系</w:t>
      </w:r>
      <w:r>
        <w:rPr>
          <w:rFonts w:hint="eastAsia" w:hAnsi="宋体"/>
          <w:color w:val="auto"/>
          <w:sz w:val="26"/>
          <w:highlight w:val="none"/>
          <w:u w:val="single"/>
        </w:rPr>
        <w:t xml:space="preserve">         </w:t>
      </w:r>
      <w:r>
        <w:rPr>
          <w:rFonts w:hint="eastAsia" w:hAnsi="宋体"/>
          <w:color w:val="auto"/>
          <w:sz w:val="26"/>
          <w:highlight w:val="none"/>
        </w:rPr>
        <w:t>（投标人名称）的法定代表人，现授权委托</w:t>
      </w:r>
      <w:r>
        <w:rPr>
          <w:rFonts w:hint="eastAsia" w:hAnsi="宋体"/>
          <w:color w:val="auto"/>
          <w:sz w:val="26"/>
          <w:highlight w:val="none"/>
          <w:u w:val="single"/>
        </w:rPr>
        <w:t xml:space="preserve">        </w:t>
      </w:r>
      <w:r>
        <w:rPr>
          <w:rFonts w:hint="eastAsia" w:hAnsi="宋体"/>
          <w:color w:val="auto"/>
          <w:sz w:val="26"/>
          <w:highlight w:val="none"/>
        </w:rPr>
        <w:t>（投标人名称）的</w:t>
      </w:r>
      <w:r>
        <w:rPr>
          <w:rFonts w:hint="eastAsia" w:hAnsi="宋体"/>
          <w:color w:val="auto"/>
          <w:sz w:val="26"/>
          <w:highlight w:val="none"/>
          <w:u w:val="single"/>
        </w:rPr>
        <w:t xml:space="preserve">        </w:t>
      </w:r>
      <w:r>
        <w:rPr>
          <w:rFonts w:hint="eastAsia" w:hAnsi="宋体"/>
          <w:color w:val="auto"/>
          <w:sz w:val="26"/>
          <w:highlight w:val="none"/>
        </w:rPr>
        <w:t>（姓名）为我公司代理人，身份证号码</w:t>
      </w:r>
      <w:r>
        <w:rPr>
          <w:rFonts w:hint="eastAsia" w:hAnsi="宋体"/>
          <w:color w:val="auto"/>
          <w:sz w:val="26"/>
          <w:highlight w:val="none"/>
          <w:u w:val="single"/>
        </w:rPr>
        <w:t xml:space="preserve">                     </w:t>
      </w:r>
      <w:r>
        <w:rPr>
          <w:rFonts w:hint="eastAsia" w:hAnsi="宋体"/>
          <w:color w:val="auto"/>
          <w:sz w:val="26"/>
          <w:highlight w:val="none"/>
        </w:rPr>
        <w:t xml:space="preserve"> 。该代理人有权在</w:t>
      </w:r>
      <w:r>
        <w:rPr>
          <w:rFonts w:hint="eastAsia" w:hAnsi="宋体"/>
          <w:color w:val="auto"/>
          <w:sz w:val="26"/>
          <w:highlight w:val="none"/>
          <w:u w:val="single"/>
        </w:rPr>
        <w:t xml:space="preserve">                   </w:t>
      </w:r>
      <w:r>
        <w:rPr>
          <w:rFonts w:hint="eastAsia" w:hAnsi="宋体"/>
          <w:color w:val="auto"/>
          <w:sz w:val="26"/>
          <w:highlight w:val="none"/>
        </w:rPr>
        <w:t>工程监理的投标活动中，以我单位的名义签署投标书，与招标人协商。该代理人在开标、评标、合同谈判过程中所签署的一切文件和处理与之有关的一切事务我均予以承认。</w:t>
      </w:r>
    </w:p>
    <w:p>
      <w:pPr>
        <w:pStyle w:val="11"/>
        <w:spacing w:line="360" w:lineRule="auto"/>
        <w:ind w:right="21" w:rightChars="10" w:firstLine="525"/>
        <w:rPr>
          <w:rFonts w:hAnsi="宋体"/>
          <w:color w:val="auto"/>
          <w:sz w:val="26"/>
          <w:highlight w:val="none"/>
        </w:rPr>
      </w:pPr>
      <w:r>
        <w:rPr>
          <w:rFonts w:hint="eastAsia" w:hAnsi="宋体"/>
          <w:color w:val="auto"/>
          <w:sz w:val="26"/>
          <w:highlight w:val="none"/>
        </w:rPr>
        <w:t>代理人无转委权。特此委托。</w:t>
      </w:r>
    </w:p>
    <w:p>
      <w:pPr>
        <w:pStyle w:val="11"/>
        <w:spacing w:line="360" w:lineRule="auto"/>
        <w:ind w:right="21" w:rightChars="10" w:firstLine="525"/>
        <w:rPr>
          <w:rFonts w:hAnsi="宋体"/>
          <w:color w:val="auto"/>
          <w:sz w:val="26"/>
          <w:highlight w:val="none"/>
        </w:rPr>
      </w:pPr>
    </w:p>
    <w:p>
      <w:pPr>
        <w:pStyle w:val="11"/>
        <w:spacing w:line="360" w:lineRule="auto"/>
        <w:ind w:right="21" w:rightChars="10" w:firstLine="525"/>
        <w:rPr>
          <w:rFonts w:hAnsi="宋体"/>
          <w:color w:val="auto"/>
          <w:sz w:val="26"/>
          <w:highlight w:val="none"/>
        </w:rPr>
      </w:pPr>
      <w:r>
        <w:rPr>
          <w:rFonts w:hint="eastAsia" w:hAnsi="宋体"/>
          <w:color w:val="auto"/>
          <w:sz w:val="26"/>
          <w:highlight w:val="none"/>
        </w:rPr>
        <w:t>代理人：　　　　　　　　性别：　　　　　　　　年龄：</w:t>
      </w:r>
    </w:p>
    <w:p>
      <w:pPr>
        <w:pStyle w:val="11"/>
        <w:spacing w:line="360" w:lineRule="auto"/>
        <w:ind w:right="21" w:rightChars="10" w:firstLine="525"/>
        <w:rPr>
          <w:rFonts w:hAnsi="宋体"/>
          <w:color w:val="auto"/>
          <w:sz w:val="26"/>
          <w:highlight w:val="none"/>
        </w:rPr>
      </w:pPr>
    </w:p>
    <w:p>
      <w:pPr>
        <w:pStyle w:val="11"/>
        <w:spacing w:line="360" w:lineRule="auto"/>
        <w:ind w:right="21" w:rightChars="10" w:firstLine="525"/>
        <w:rPr>
          <w:rFonts w:hAnsi="宋体"/>
          <w:color w:val="auto"/>
          <w:sz w:val="26"/>
          <w:highlight w:val="none"/>
        </w:rPr>
      </w:pPr>
      <w:r>
        <w:rPr>
          <w:rFonts w:hint="eastAsia" w:hAnsi="宋体"/>
          <w:color w:val="auto"/>
          <w:sz w:val="26"/>
          <w:highlight w:val="none"/>
        </w:rPr>
        <w:t>单位：　　　　　　　　　部门：　　　　　　　　职务：</w:t>
      </w:r>
    </w:p>
    <w:p>
      <w:pPr>
        <w:pStyle w:val="11"/>
        <w:spacing w:line="360" w:lineRule="auto"/>
        <w:ind w:right="21" w:rightChars="10" w:firstLine="525"/>
        <w:rPr>
          <w:rFonts w:hAnsi="宋体"/>
          <w:color w:val="auto"/>
          <w:sz w:val="26"/>
          <w:highlight w:val="none"/>
        </w:rPr>
      </w:pPr>
    </w:p>
    <w:p>
      <w:pPr>
        <w:pStyle w:val="11"/>
        <w:spacing w:line="360" w:lineRule="auto"/>
        <w:ind w:right="21" w:rightChars="10" w:firstLine="525"/>
        <w:rPr>
          <w:rFonts w:hAnsi="宋体"/>
          <w:color w:val="auto"/>
          <w:sz w:val="26"/>
          <w:highlight w:val="none"/>
        </w:rPr>
      </w:pPr>
      <w:r>
        <w:rPr>
          <w:rFonts w:hint="eastAsia" w:hAnsi="宋体"/>
          <w:color w:val="auto"/>
          <w:sz w:val="26"/>
          <w:highlight w:val="none"/>
        </w:rPr>
        <w:t>投标人：         （盖单位章）</w:t>
      </w:r>
    </w:p>
    <w:p>
      <w:pPr>
        <w:pStyle w:val="11"/>
        <w:spacing w:line="360" w:lineRule="auto"/>
        <w:ind w:right="21" w:rightChars="10" w:firstLine="525"/>
        <w:rPr>
          <w:rFonts w:hAnsi="宋体"/>
          <w:color w:val="auto"/>
          <w:sz w:val="26"/>
          <w:highlight w:val="none"/>
        </w:rPr>
      </w:pPr>
    </w:p>
    <w:p>
      <w:pPr>
        <w:pStyle w:val="11"/>
        <w:spacing w:line="360" w:lineRule="auto"/>
        <w:ind w:right="21" w:rightChars="10" w:firstLine="525"/>
        <w:rPr>
          <w:rFonts w:hAnsi="宋体"/>
          <w:color w:val="auto"/>
          <w:sz w:val="26"/>
          <w:highlight w:val="none"/>
        </w:rPr>
      </w:pPr>
      <w:r>
        <w:rPr>
          <w:rFonts w:hint="eastAsia" w:hAnsi="宋体"/>
          <w:color w:val="auto"/>
          <w:sz w:val="26"/>
          <w:highlight w:val="none"/>
        </w:rPr>
        <w:t>法定代表人：    （签字或盖章）</w:t>
      </w:r>
    </w:p>
    <w:p>
      <w:pPr>
        <w:pStyle w:val="3"/>
        <w:ind w:firstLine="4320" w:firstLineChars="1800"/>
        <w:rPr>
          <w:color w:val="auto"/>
          <w:highlight w:val="none"/>
        </w:rPr>
      </w:pPr>
      <w:r>
        <w:rPr>
          <w:rFonts w:hint="eastAsia"/>
          <w:color w:val="auto"/>
          <w:highlight w:val="none"/>
        </w:rPr>
        <w:t>日期：　　　　年　　　　月　　　日</w:t>
      </w:r>
    </w:p>
    <w:p>
      <w:pPr>
        <w:pStyle w:val="3"/>
        <w:ind w:firstLine="0" w:firstLineChars="0"/>
        <w:rPr>
          <w:color w:val="auto"/>
          <w:highlight w:val="none"/>
        </w:rPr>
      </w:pPr>
    </w:p>
    <w:p>
      <w:pPr>
        <w:pStyle w:val="3"/>
        <w:ind w:firstLine="0" w:firstLineChars="0"/>
        <w:rPr>
          <w:color w:val="auto"/>
          <w:highlight w:val="none"/>
        </w:rPr>
      </w:pPr>
    </w:p>
    <w:p>
      <w:pPr>
        <w:pStyle w:val="3"/>
        <w:ind w:firstLine="0" w:firstLineChars="0"/>
        <w:rPr>
          <w:color w:val="auto"/>
          <w:highlight w:val="none"/>
        </w:rPr>
      </w:pPr>
    </w:p>
    <w:p>
      <w:pPr>
        <w:pStyle w:val="3"/>
        <w:ind w:firstLine="0" w:firstLineChars="0"/>
        <w:rPr>
          <w:color w:val="auto"/>
          <w:highlight w:val="none"/>
        </w:rPr>
      </w:pPr>
    </w:p>
    <w:p>
      <w:pPr>
        <w:pStyle w:val="3"/>
        <w:ind w:firstLine="0" w:firstLineChars="0"/>
        <w:rPr>
          <w:color w:val="auto"/>
          <w:highlight w:val="none"/>
        </w:rPr>
      </w:pPr>
    </w:p>
    <w:p>
      <w:pPr>
        <w:pStyle w:val="3"/>
        <w:ind w:firstLine="0" w:firstLineChars="0"/>
        <w:rPr>
          <w:color w:val="auto"/>
          <w:highlight w:val="none"/>
        </w:rPr>
      </w:pPr>
    </w:p>
    <w:p>
      <w:pPr>
        <w:pStyle w:val="3"/>
        <w:ind w:firstLine="0" w:firstLineChars="0"/>
        <w:rPr>
          <w:rFonts w:ascii="宋体"/>
          <w:b/>
          <w:color w:val="auto"/>
          <w:highlight w:val="none"/>
        </w:rPr>
      </w:pPr>
      <w:r>
        <w:rPr>
          <w:rFonts w:hint="eastAsia" w:ascii="宋体"/>
          <w:b/>
          <w:color w:val="auto"/>
          <w:highlight w:val="none"/>
        </w:rPr>
        <w:t>表2</w:t>
      </w:r>
    </w:p>
    <w:p>
      <w:pPr>
        <w:spacing w:line="360" w:lineRule="auto"/>
        <w:jc w:val="center"/>
        <w:outlineLvl w:val="2"/>
        <w:rPr>
          <w:rFonts w:ascii="黑体" w:eastAsia="黑体"/>
          <w:color w:val="auto"/>
          <w:sz w:val="32"/>
          <w:highlight w:val="none"/>
        </w:rPr>
      </w:pPr>
      <w:bookmarkStart w:id="37" w:name="_Toc403986568"/>
      <w:bookmarkStart w:id="38" w:name="_Toc355359407"/>
      <w:r>
        <w:rPr>
          <w:rFonts w:hint="eastAsia" w:ascii="黑体" w:eastAsia="黑体"/>
          <w:color w:val="auto"/>
          <w:sz w:val="32"/>
          <w:highlight w:val="none"/>
        </w:rPr>
        <w:t>资格审查申请表</w:t>
      </w:r>
      <w:bookmarkEnd w:id="37"/>
      <w:bookmarkEnd w:id="38"/>
    </w:p>
    <w:tbl>
      <w:tblPr>
        <w:tblStyle w:val="1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572" w:type="dxa"/>
            <w:vAlign w:val="center"/>
          </w:tcPr>
          <w:p>
            <w:pPr>
              <w:spacing w:line="360" w:lineRule="auto"/>
              <w:jc w:val="center"/>
              <w:rPr>
                <w:rFonts w:ascii="黑体" w:eastAsia="黑体"/>
                <w:b/>
                <w:color w:val="auto"/>
                <w:sz w:val="24"/>
                <w:highlight w:val="none"/>
              </w:rPr>
            </w:pPr>
            <w:r>
              <w:rPr>
                <w:rFonts w:hint="eastAsia" w:ascii="黑体" w:eastAsia="黑体"/>
                <w:b/>
                <w:color w:val="auto"/>
                <w:sz w:val="24"/>
                <w:highlight w:val="none"/>
              </w:rPr>
              <w:t>申请人全称</w:t>
            </w:r>
          </w:p>
        </w:tc>
        <w:tc>
          <w:tcPr>
            <w:tcW w:w="6779" w:type="dxa"/>
            <w:vAlign w:val="center"/>
          </w:tcPr>
          <w:p>
            <w:pPr>
              <w:spacing w:line="360" w:lineRule="auto"/>
              <w:jc w:val="center"/>
              <w:rPr>
                <w:rFonts w:ascii="黑体" w:eastAsia="黑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vAlign w:val="center"/>
          </w:tcPr>
          <w:p>
            <w:pPr>
              <w:spacing w:line="360" w:lineRule="auto"/>
              <w:jc w:val="center"/>
              <w:rPr>
                <w:rFonts w:ascii="黑体" w:eastAsia="黑体"/>
                <w:b/>
                <w:color w:val="auto"/>
                <w:sz w:val="24"/>
                <w:highlight w:val="none"/>
              </w:rPr>
            </w:pPr>
            <w:r>
              <w:rPr>
                <w:rFonts w:hint="eastAsia" w:ascii="黑体" w:eastAsia="黑体"/>
                <w:b/>
                <w:color w:val="auto"/>
                <w:sz w:val="24"/>
                <w:highlight w:val="none"/>
              </w:rPr>
              <w:t>申请方式</w:t>
            </w:r>
          </w:p>
        </w:tc>
        <w:tc>
          <w:tcPr>
            <w:tcW w:w="6779" w:type="dxa"/>
            <w:vAlign w:val="center"/>
          </w:tcPr>
          <w:p>
            <w:pPr>
              <w:spacing w:line="360" w:lineRule="auto"/>
              <w:jc w:val="center"/>
              <w:rPr>
                <w:rFonts w:ascii="黑体" w:eastAsia="黑体"/>
                <w:b/>
                <w:color w:val="auto"/>
                <w:sz w:val="24"/>
                <w:highlight w:val="none"/>
              </w:rPr>
            </w:pPr>
            <w:r>
              <w:rPr>
                <w:rFonts w:hint="eastAsia" w:ascii="黑体" w:eastAsia="黑体"/>
                <w:b/>
                <w:color w:val="auto"/>
                <w:sz w:val="24"/>
                <w:highlight w:val="none"/>
              </w:rPr>
              <w:t>独家名称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gridSpan w:val="2"/>
          </w:tcPr>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color w:val="auto"/>
                <w:sz w:val="24"/>
                <w:highlight w:val="none"/>
              </w:rPr>
            </w:pPr>
            <w:r>
              <w:rPr>
                <w:rFonts w:hint="eastAsia" w:ascii="黑体" w:eastAsia="黑体"/>
                <w:b/>
                <w:color w:val="auto"/>
                <w:sz w:val="24"/>
                <w:highlight w:val="none"/>
              </w:rPr>
              <w:t xml:space="preserve">    </w:t>
            </w:r>
            <w:r>
              <w:rPr>
                <w:rFonts w:hint="eastAsia" w:ascii="黑体" w:eastAsia="黑体"/>
                <w:color w:val="auto"/>
                <w:sz w:val="24"/>
                <w:highlight w:val="none"/>
              </w:rPr>
              <w:t xml:space="preserve"> 我声明：作为申请人，对填写的资格后审申请文件负责，并保证所有填写的申请文件的真实性。本次投标为本公司自主投标，无挂靠行为。如果资格后审通过，我将承担投标文件承诺的全部责任和义务。若我公司中标后将保证按照投标文件承诺进行服务。</w:t>
            </w:r>
          </w:p>
          <w:p>
            <w:pPr>
              <w:spacing w:line="360" w:lineRule="auto"/>
              <w:rPr>
                <w:rFonts w:ascii="黑体" w:eastAsia="黑体"/>
                <w:color w:val="auto"/>
                <w:sz w:val="24"/>
                <w:highlight w:val="none"/>
              </w:rPr>
            </w:pPr>
          </w:p>
          <w:p>
            <w:pPr>
              <w:spacing w:line="360" w:lineRule="auto"/>
              <w:rPr>
                <w:rFonts w:ascii="黑体" w:eastAsia="黑体"/>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r>
              <w:rPr>
                <w:rFonts w:hint="eastAsia" w:ascii="黑体" w:eastAsia="黑体"/>
                <w:b/>
                <w:color w:val="auto"/>
                <w:sz w:val="24"/>
                <w:highlight w:val="none"/>
              </w:rPr>
              <w:t xml:space="preserve">                              申请人：                         （盖单位章）</w:t>
            </w:r>
          </w:p>
          <w:p>
            <w:pPr>
              <w:spacing w:line="360" w:lineRule="auto"/>
              <w:rPr>
                <w:rFonts w:ascii="黑体" w:eastAsia="黑体"/>
                <w:b/>
                <w:color w:val="auto"/>
                <w:sz w:val="24"/>
                <w:highlight w:val="none"/>
              </w:rPr>
            </w:pPr>
            <w:r>
              <w:rPr>
                <w:rFonts w:hint="eastAsia" w:ascii="黑体" w:eastAsia="黑体"/>
                <w:b/>
                <w:color w:val="auto"/>
                <w:sz w:val="24"/>
                <w:highlight w:val="none"/>
              </w:rPr>
              <w:t xml:space="preserve">                              法定代表人（或其委托代理人）：     </w:t>
            </w:r>
            <w:r>
              <w:rPr>
                <w:rFonts w:hint="eastAsia" w:ascii="宋体"/>
                <w:b/>
                <w:color w:val="auto"/>
                <w:sz w:val="24"/>
                <w:highlight w:val="none"/>
              </w:rPr>
              <w:t>（签字或盖章）</w:t>
            </w:r>
          </w:p>
          <w:p>
            <w:pPr>
              <w:spacing w:line="360" w:lineRule="auto"/>
              <w:ind w:firstLine="3132" w:firstLineChars="1300"/>
              <w:rPr>
                <w:rFonts w:ascii="黑体" w:eastAsia="黑体"/>
                <w:b/>
                <w:color w:val="auto"/>
                <w:sz w:val="24"/>
                <w:highlight w:val="none"/>
              </w:rPr>
            </w:pPr>
            <w:r>
              <w:rPr>
                <w:rFonts w:hint="eastAsia" w:ascii="黑体" w:eastAsia="黑体"/>
                <w:b/>
                <w:color w:val="auto"/>
                <w:sz w:val="24"/>
                <w:highlight w:val="none"/>
              </w:rPr>
              <w:t xml:space="preserve">                   年   月    日</w:t>
            </w: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p>
            <w:pPr>
              <w:spacing w:line="360" w:lineRule="auto"/>
              <w:rPr>
                <w:rFonts w:ascii="黑体" w:eastAsia="黑体"/>
                <w:b/>
                <w:color w:val="auto"/>
                <w:sz w:val="24"/>
                <w:highlight w:val="none"/>
              </w:rPr>
            </w:pPr>
          </w:p>
        </w:tc>
      </w:tr>
    </w:tbl>
    <w:p>
      <w:pPr>
        <w:rPr>
          <w:color w:val="auto"/>
          <w:highlight w:val="none"/>
        </w:rPr>
      </w:pPr>
    </w:p>
    <w:p>
      <w:pPr>
        <w:rPr>
          <w:color w:val="auto"/>
          <w:highlight w:val="none"/>
        </w:rPr>
      </w:pPr>
    </w:p>
    <w:p>
      <w:pPr>
        <w:rPr>
          <w:color w:val="auto"/>
          <w:highlight w:val="none"/>
        </w:rPr>
      </w:pPr>
    </w:p>
    <w:p>
      <w:pPr>
        <w:spacing w:line="360" w:lineRule="exact"/>
        <w:rPr>
          <w:rFonts w:ascii="宋体"/>
          <w:b/>
          <w:color w:val="auto"/>
          <w:sz w:val="24"/>
          <w:highlight w:val="none"/>
        </w:rPr>
      </w:pPr>
    </w:p>
    <w:p>
      <w:pPr>
        <w:spacing w:line="360" w:lineRule="exact"/>
        <w:rPr>
          <w:rFonts w:ascii="宋体"/>
          <w:b/>
          <w:color w:val="auto"/>
          <w:sz w:val="24"/>
          <w:highlight w:val="none"/>
        </w:rPr>
      </w:pPr>
    </w:p>
    <w:p>
      <w:pPr>
        <w:spacing w:line="360" w:lineRule="exact"/>
        <w:rPr>
          <w:rFonts w:ascii="宋体"/>
          <w:b/>
          <w:color w:val="auto"/>
          <w:sz w:val="24"/>
          <w:highlight w:val="none"/>
        </w:rPr>
      </w:pPr>
    </w:p>
    <w:p>
      <w:pPr>
        <w:pStyle w:val="2"/>
        <w:rPr>
          <w:color w:val="auto"/>
          <w:highlight w:val="none"/>
        </w:rPr>
      </w:pPr>
    </w:p>
    <w:p>
      <w:pPr>
        <w:spacing w:line="360" w:lineRule="exact"/>
        <w:rPr>
          <w:rFonts w:ascii="宋体"/>
          <w:b/>
          <w:color w:val="auto"/>
          <w:sz w:val="24"/>
          <w:highlight w:val="none"/>
        </w:rPr>
      </w:pPr>
      <w:r>
        <w:rPr>
          <w:rFonts w:hint="eastAsia" w:ascii="宋体"/>
          <w:b/>
          <w:color w:val="auto"/>
          <w:sz w:val="24"/>
          <w:highlight w:val="none"/>
        </w:rPr>
        <w:t>表3-1</w:t>
      </w:r>
    </w:p>
    <w:p>
      <w:pPr>
        <w:spacing w:line="360" w:lineRule="exact"/>
        <w:rPr>
          <w:rFonts w:ascii="宋体"/>
          <w:b/>
          <w:color w:val="auto"/>
          <w:sz w:val="24"/>
          <w:highlight w:val="none"/>
        </w:rPr>
      </w:pPr>
    </w:p>
    <w:p>
      <w:pPr>
        <w:spacing w:line="360" w:lineRule="exact"/>
        <w:jc w:val="center"/>
        <w:rPr>
          <w:rFonts w:ascii="宋体"/>
          <w:b/>
          <w:color w:val="auto"/>
          <w:sz w:val="32"/>
          <w:highlight w:val="none"/>
        </w:rPr>
      </w:pPr>
      <w:r>
        <w:rPr>
          <w:rFonts w:hint="eastAsia" w:ascii="宋体"/>
          <w:b/>
          <w:color w:val="auto"/>
          <w:sz w:val="32"/>
          <w:highlight w:val="none"/>
        </w:rPr>
        <w:t>强制性资格条件表</w:t>
      </w:r>
    </w:p>
    <w:tbl>
      <w:tblPr>
        <w:tblStyle w:val="18"/>
        <w:tblW w:w="886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704"/>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1" w:type="dxa"/>
            <w:vAlign w:val="center"/>
          </w:tcPr>
          <w:p>
            <w:pPr>
              <w:spacing w:line="300" w:lineRule="exact"/>
              <w:jc w:val="center"/>
              <w:rPr>
                <w:rFonts w:ascii="宋体"/>
                <w:b/>
                <w:color w:val="auto"/>
                <w:sz w:val="24"/>
                <w:highlight w:val="none"/>
              </w:rPr>
            </w:pPr>
            <w:r>
              <w:rPr>
                <w:rFonts w:hint="eastAsia" w:ascii="宋体"/>
                <w:b/>
                <w:color w:val="auto"/>
                <w:sz w:val="24"/>
                <w:highlight w:val="none"/>
              </w:rPr>
              <w:t>序号</w:t>
            </w:r>
          </w:p>
        </w:tc>
        <w:tc>
          <w:tcPr>
            <w:tcW w:w="2704" w:type="dxa"/>
            <w:vAlign w:val="center"/>
          </w:tcPr>
          <w:p>
            <w:pPr>
              <w:spacing w:line="300" w:lineRule="exact"/>
              <w:jc w:val="center"/>
              <w:rPr>
                <w:rFonts w:ascii="宋体"/>
                <w:b/>
                <w:color w:val="auto"/>
                <w:sz w:val="24"/>
                <w:highlight w:val="none"/>
              </w:rPr>
            </w:pPr>
            <w:r>
              <w:rPr>
                <w:rFonts w:hint="eastAsia" w:ascii="宋体"/>
                <w:b/>
                <w:color w:val="auto"/>
                <w:sz w:val="24"/>
                <w:highlight w:val="none"/>
              </w:rPr>
              <w:t>强制性资格条件</w:t>
            </w:r>
          </w:p>
        </w:tc>
        <w:tc>
          <w:tcPr>
            <w:tcW w:w="5440" w:type="dxa"/>
            <w:vAlign w:val="center"/>
          </w:tcPr>
          <w:p>
            <w:pPr>
              <w:spacing w:line="300" w:lineRule="exact"/>
              <w:jc w:val="center"/>
              <w:rPr>
                <w:rFonts w:ascii="宋体"/>
                <w:b/>
                <w:color w:val="auto"/>
                <w:sz w:val="24"/>
                <w:highlight w:val="none"/>
              </w:rPr>
            </w:pPr>
            <w:r>
              <w:rPr>
                <w:rFonts w:hint="eastAsia" w:ascii="宋体"/>
                <w:b/>
                <w:color w:val="auto"/>
                <w:sz w:val="24"/>
                <w:highlight w:val="none"/>
              </w:rPr>
              <w:t>投标人对能达到程度的简述</w:t>
            </w:r>
          </w:p>
          <w:p>
            <w:pPr>
              <w:spacing w:line="300" w:lineRule="exact"/>
              <w:jc w:val="center"/>
              <w:rPr>
                <w:rFonts w:ascii="宋体"/>
                <w:b/>
                <w:color w:val="auto"/>
                <w:sz w:val="24"/>
                <w:highlight w:val="none"/>
              </w:rPr>
            </w:pPr>
            <w:r>
              <w:rPr>
                <w:rFonts w:hint="eastAsia" w:ascii="宋体"/>
                <w:b/>
                <w:color w:val="auto"/>
                <w:sz w:val="24"/>
                <w:highlight w:val="none"/>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21" w:type="dxa"/>
          </w:tcPr>
          <w:p>
            <w:pPr>
              <w:spacing w:line="360" w:lineRule="exact"/>
              <w:rPr>
                <w:rFonts w:ascii="宋体"/>
                <w:b/>
                <w:color w:val="auto"/>
                <w:sz w:val="24"/>
                <w:highlight w:val="none"/>
              </w:rPr>
            </w:pPr>
            <w:r>
              <w:rPr>
                <w:rFonts w:hint="eastAsia" w:ascii="宋体"/>
                <w:b/>
                <w:color w:val="auto"/>
                <w:sz w:val="24"/>
                <w:highlight w:val="none"/>
              </w:rPr>
              <w:t>一</w:t>
            </w:r>
          </w:p>
        </w:tc>
        <w:tc>
          <w:tcPr>
            <w:tcW w:w="2704" w:type="dxa"/>
          </w:tcPr>
          <w:p>
            <w:pPr>
              <w:spacing w:line="300" w:lineRule="exact"/>
              <w:rPr>
                <w:rFonts w:ascii="宋体"/>
                <w:b/>
                <w:color w:val="auto"/>
                <w:sz w:val="24"/>
                <w:highlight w:val="none"/>
              </w:rPr>
            </w:pPr>
            <w:r>
              <w:rPr>
                <w:rFonts w:hint="eastAsia" w:ascii="宋体"/>
                <w:b/>
                <w:color w:val="auto"/>
                <w:sz w:val="24"/>
                <w:highlight w:val="none"/>
              </w:rPr>
              <w:t>企业资质要求：</w:t>
            </w:r>
          </w:p>
          <w:p>
            <w:pPr>
              <w:spacing w:line="300" w:lineRule="exact"/>
              <w:rPr>
                <w:rFonts w:ascii="宋体"/>
                <w:color w:val="auto"/>
                <w:highlight w:val="none"/>
              </w:rPr>
            </w:pPr>
            <w:r>
              <w:rPr>
                <w:rFonts w:hint="eastAsia" w:ascii="宋体" w:hAnsi="宋体"/>
                <w:color w:val="auto"/>
                <w:highlight w:val="none"/>
              </w:rPr>
              <w:t>须符合招标公告的要求</w:t>
            </w:r>
          </w:p>
        </w:tc>
        <w:tc>
          <w:tcPr>
            <w:tcW w:w="5440" w:type="dxa"/>
          </w:tcPr>
          <w:p>
            <w:pPr>
              <w:spacing w:line="360" w:lineRule="exact"/>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721" w:type="dxa"/>
          </w:tcPr>
          <w:p>
            <w:pPr>
              <w:spacing w:line="340" w:lineRule="exact"/>
              <w:jc w:val="center"/>
              <w:rPr>
                <w:rFonts w:ascii="宋体"/>
                <w:b/>
                <w:color w:val="auto"/>
                <w:sz w:val="24"/>
                <w:highlight w:val="none"/>
              </w:rPr>
            </w:pPr>
            <w:r>
              <w:rPr>
                <w:rFonts w:hint="eastAsia" w:ascii="宋体"/>
                <w:b/>
                <w:color w:val="auto"/>
                <w:sz w:val="24"/>
                <w:highlight w:val="none"/>
              </w:rPr>
              <w:t>二</w:t>
            </w:r>
          </w:p>
        </w:tc>
        <w:tc>
          <w:tcPr>
            <w:tcW w:w="2704" w:type="dxa"/>
          </w:tcPr>
          <w:p>
            <w:pPr>
              <w:spacing w:line="360" w:lineRule="exact"/>
              <w:jc w:val="left"/>
              <w:rPr>
                <w:rFonts w:ascii="宋体"/>
                <w:color w:val="auto"/>
                <w:highlight w:val="none"/>
              </w:rPr>
            </w:pPr>
            <w:r>
              <w:rPr>
                <w:rFonts w:hint="eastAsia" w:hAnsi="宋体"/>
                <w:b/>
                <w:bCs/>
                <w:color w:val="auto"/>
                <w:highlight w:val="none"/>
              </w:rPr>
              <w:t>企业业绩要求：</w:t>
            </w:r>
            <w:r>
              <w:rPr>
                <w:rFonts w:hint="eastAsia" w:ascii="宋体" w:hAnsi="宋体"/>
                <w:b/>
                <w:bCs/>
                <w:color w:val="auto"/>
                <w:highlight w:val="none"/>
              </w:rPr>
              <w:t>无</w:t>
            </w:r>
            <w:r>
              <w:rPr>
                <w:rFonts w:ascii="宋体" w:hAnsi="宋体"/>
                <w:color w:val="auto"/>
                <w:highlight w:val="none"/>
              </w:rPr>
              <w:t xml:space="preserve"> </w:t>
            </w:r>
          </w:p>
        </w:tc>
        <w:tc>
          <w:tcPr>
            <w:tcW w:w="5440" w:type="dxa"/>
          </w:tcPr>
          <w:p>
            <w:pPr>
              <w:spacing w:line="340" w:lineRule="exact"/>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721" w:type="dxa"/>
          </w:tcPr>
          <w:p>
            <w:pPr>
              <w:spacing w:line="340" w:lineRule="exact"/>
              <w:jc w:val="center"/>
              <w:rPr>
                <w:rFonts w:ascii="宋体"/>
                <w:b/>
                <w:color w:val="auto"/>
                <w:sz w:val="24"/>
                <w:highlight w:val="none"/>
              </w:rPr>
            </w:pPr>
            <w:r>
              <w:rPr>
                <w:rFonts w:hint="eastAsia" w:ascii="宋体"/>
                <w:b/>
                <w:color w:val="auto"/>
                <w:sz w:val="24"/>
                <w:highlight w:val="none"/>
              </w:rPr>
              <w:t>三</w:t>
            </w:r>
          </w:p>
        </w:tc>
        <w:tc>
          <w:tcPr>
            <w:tcW w:w="2704" w:type="dxa"/>
          </w:tcPr>
          <w:p>
            <w:pPr>
              <w:spacing w:line="340" w:lineRule="exact"/>
              <w:rPr>
                <w:rFonts w:hAnsi="宋体"/>
                <w:b/>
                <w:bCs/>
                <w:color w:val="auto"/>
                <w:highlight w:val="none"/>
              </w:rPr>
            </w:pPr>
            <w:r>
              <w:rPr>
                <w:rFonts w:hint="eastAsia" w:hAnsi="宋体"/>
                <w:b/>
                <w:bCs/>
                <w:color w:val="auto"/>
                <w:highlight w:val="none"/>
              </w:rPr>
              <w:t>其他要求：</w:t>
            </w:r>
            <w:r>
              <w:rPr>
                <w:rFonts w:hint="eastAsia" w:ascii="宋体" w:hAnsi="宋体"/>
                <w:color w:val="auto"/>
                <w:highlight w:val="none"/>
              </w:rPr>
              <w:t>投标人有符合第一章招标公告要求的承诺书</w:t>
            </w:r>
          </w:p>
        </w:tc>
        <w:tc>
          <w:tcPr>
            <w:tcW w:w="5440" w:type="dxa"/>
          </w:tcPr>
          <w:p>
            <w:pPr>
              <w:spacing w:line="340" w:lineRule="exact"/>
              <w:rPr>
                <w:rFonts w:ascii="宋体"/>
                <w:b/>
                <w:color w:val="auto"/>
                <w:sz w:val="24"/>
                <w:highlight w:val="none"/>
              </w:rPr>
            </w:pPr>
          </w:p>
        </w:tc>
      </w:tr>
    </w:tbl>
    <w:p>
      <w:pPr>
        <w:spacing w:line="440" w:lineRule="exact"/>
        <w:rPr>
          <w:rFonts w:ascii="宋体"/>
          <w:b/>
          <w:color w:val="auto"/>
          <w:sz w:val="24"/>
          <w:highlight w:val="none"/>
        </w:rPr>
      </w:pPr>
      <w:r>
        <w:rPr>
          <w:rFonts w:ascii="宋体"/>
          <w:b/>
          <w:color w:val="auto"/>
          <w:sz w:val="24"/>
          <w:highlight w:val="none"/>
        </w:rPr>
        <w:t xml:space="preserve">                                    </w:t>
      </w:r>
    </w:p>
    <w:p>
      <w:pPr>
        <w:spacing w:line="440" w:lineRule="exact"/>
        <w:ind w:firstLine="6257" w:firstLineChars="2597"/>
        <w:rPr>
          <w:rFonts w:ascii="宋体"/>
          <w:b/>
          <w:color w:val="auto"/>
          <w:sz w:val="24"/>
          <w:highlight w:val="none"/>
        </w:rPr>
      </w:pPr>
    </w:p>
    <w:p>
      <w:pPr>
        <w:spacing w:line="440" w:lineRule="exact"/>
        <w:jc w:val="center"/>
        <w:rPr>
          <w:rFonts w:ascii="宋体"/>
          <w:b/>
          <w:color w:val="auto"/>
          <w:sz w:val="24"/>
          <w:highlight w:val="none"/>
        </w:rPr>
      </w:pPr>
      <w:r>
        <w:rPr>
          <w:rFonts w:ascii="宋体"/>
          <w:b/>
          <w:color w:val="auto"/>
          <w:sz w:val="24"/>
          <w:highlight w:val="none"/>
        </w:rPr>
        <w:t xml:space="preserve">                                      </w:t>
      </w:r>
      <w:r>
        <w:rPr>
          <w:rFonts w:hint="eastAsia" w:ascii="宋体"/>
          <w:b/>
          <w:color w:val="auto"/>
          <w:sz w:val="24"/>
          <w:highlight w:val="none"/>
        </w:rPr>
        <w:t>投标人：（盖章）</w:t>
      </w:r>
    </w:p>
    <w:p>
      <w:pPr>
        <w:spacing w:line="440" w:lineRule="exact"/>
        <w:ind w:firstLine="6257" w:firstLineChars="2597"/>
        <w:rPr>
          <w:rFonts w:ascii="宋体"/>
          <w:b/>
          <w:color w:val="auto"/>
          <w:sz w:val="24"/>
          <w:highlight w:val="none"/>
        </w:rPr>
      </w:pPr>
    </w:p>
    <w:p>
      <w:pPr>
        <w:spacing w:line="440" w:lineRule="exact"/>
        <w:rPr>
          <w:rFonts w:ascii="宋体"/>
          <w:b/>
          <w:color w:val="auto"/>
          <w:sz w:val="24"/>
          <w:highlight w:val="none"/>
        </w:rPr>
      </w:pPr>
      <w:r>
        <w:rPr>
          <w:rFonts w:ascii="宋体"/>
          <w:b/>
          <w:color w:val="auto"/>
          <w:sz w:val="24"/>
          <w:highlight w:val="none"/>
        </w:rPr>
        <w:t xml:space="preserve">                              </w:t>
      </w:r>
      <w:r>
        <w:rPr>
          <w:rFonts w:hint="eastAsia" w:ascii="宋体"/>
          <w:b/>
          <w:color w:val="auto"/>
          <w:sz w:val="24"/>
          <w:highlight w:val="none"/>
        </w:rPr>
        <w:t>法定代表人（或委托代理人）：（签字或盖章）</w:t>
      </w:r>
    </w:p>
    <w:p>
      <w:pPr>
        <w:spacing w:line="440" w:lineRule="exact"/>
        <w:rPr>
          <w:rFonts w:ascii="宋体"/>
          <w:b/>
          <w:color w:val="auto"/>
          <w:sz w:val="24"/>
          <w:highlight w:val="none"/>
        </w:rPr>
      </w:pPr>
      <w:r>
        <w:rPr>
          <w:rFonts w:ascii="宋体"/>
          <w:b/>
          <w:color w:val="auto"/>
          <w:sz w:val="24"/>
          <w:highlight w:val="none"/>
        </w:rPr>
        <w:t xml:space="preserve">                                                    </w:t>
      </w:r>
      <w:r>
        <w:rPr>
          <w:rFonts w:hint="eastAsia" w:ascii="宋体"/>
          <w:b/>
          <w:color w:val="auto"/>
          <w:sz w:val="24"/>
          <w:highlight w:val="none"/>
        </w:rPr>
        <w:t>年</w:t>
      </w:r>
      <w:r>
        <w:rPr>
          <w:rFonts w:ascii="宋体"/>
          <w:b/>
          <w:color w:val="auto"/>
          <w:sz w:val="24"/>
          <w:highlight w:val="none"/>
        </w:rPr>
        <w:t xml:space="preserve">   </w:t>
      </w:r>
      <w:r>
        <w:rPr>
          <w:rFonts w:hint="eastAsia" w:ascii="宋体"/>
          <w:b/>
          <w:color w:val="auto"/>
          <w:sz w:val="24"/>
          <w:highlight w:val="none"/>
        </w:rPr>
        <w:t>月</w:t>
      </w:r>
      <w:r>
        <w:rPr>
          <w:rFonts w:ascii="宋体"/>
          <w:b/>
          <w:color w:val="auto"/>
          <w:sz w:val="24"/>
          <w:highlight w:val="none"/>
        </w:rPr>
        <w:t xml:space="preserve">    </w:t>
      </w:r>
      <w:r>
        <w:rPr>
          <w:rFonts w:hint="eastAsia" w:ascii="宋体"/>
          <w:b/>
          <w:color w:val="auto"/>
          <w:sz w:val="24"/>
          <w:highlight w:val="none"/>
        </w:rPr>
        <w:t>日</w:t>
      </w:r>
    </w:p>
    <w:p>
      <w:pPr>
        <w:spacing w:line="440" w:lineRule="exact"/>
        <w:ind w:leftChars="-171" w:hanging="359" w:hangingChars="189"/>
        <w:rPr>
          <w:color w:val="auto"/>
          <w:spacing w:val="-10"/>
          <w:highlight w:val="none"/>
        </w:rPr>
      </w:pPr>
    </w:p>
    <w:p>
      <w:pPr>
        <w:spacing w:line="440" w:lineRule="exact"/>
        <w:ind w:left="-359" w:leftChars="-171"/>
        <w:rPr>
          <w:rFonts w:ascii="宋体"/>
          <w:b/>
          <w:color w:val="auto"/>
          <w:sz w:val="24"/>
          <w:highlight w:val="none"/>
        </w:rPr>
      </w:pPr>
      <w:r>
        <w:rPr>
          <w:rFonts w:hint="eastAsia"/>
          <w:color w:val="auto"/>
          <w:spacing w:val="-10"/>
          <w:highlight w:val="none"/>
        </w:rPr>
        <w:t>本表须附：营业执照副本、资质证书副本、承诺书（加盖投标人公章的复印件，原件备查；</w:t>
      </w:r>
      <w:r>
        <w:rPr>
          <w:rFonts w:hint="eastAsia" w:ascii="宋体" w:hAnsi="宋体"/>
          <w:color w:val="auto"/>
          <w:highlight w:val="none"/>
        </w:rPr>
        <w:t>资质证书原件可不提供，但须提供可供公证处扫描的资质证书二维码或提供资质证书所示的网站</w:t>
      </w:r>
      <w:r>
        <w:rPr>
          <w:rFonts w:hint="eastAsia"/>
          <w:color w:val="auto"/>
          <w:spacing w:val="-10"/>
          <w:highlight w:val="none"/>
        </w:rPr>
        <w:t>）。</w:t>
      </w:r>
    </w:p>
    <w:p>
      <w:pPr>
        <w:spacing w:line="360" w:lineRule="exact"/>
        <w:rPr>
          <w:rFonts w:ascii="宋体"/>
          <w:b/>
          <w:color w:val="auto"/>
          <w:sz w:val="24"/>
          <w:highlight w:val="none"/>
        </w:rPr>
      </w:pPr>
      <w:r>
        <w:rPr>
          <w:rFonts w:ascii="宋体"/>
          <w:bCs/>
          <w:color w:val="auto"/>
          <w:sz w:val="24"/>
          <w:highlight w:val="none"/>
        </w:rPr>
        <w:br w:type="page"/>
      </w:r>
    </w:p>
    <w:p>
      <w:pPr>
        <w:pStyle w:val="3"/>
        <w:ind w:firstLine="0" w:firstLineChars="0"/>
        <w:rPr>
          <w:rFonts w:ascii="宋体"/>
          <w:b/>
          <w:color w:val="auto"/>
          <w:highlight w:val="none"/>
        </w:rPr>
      </w:pPr>
      <w:r>
        <w:rPr>
          <w:rFonts w:hint="eastAsia" w:ascii="宋体"/>
          <w:b/>
          <w:color w:val="auto"/>
          <w:highlight w:val="none"/>
        </w:rPr>
        <w:t>表3-2</w:t>
      </w:r>
    </w:p>
    <w:p>
      <w:pPr>
        <w:spacing w:line="360" w:lineRule="exact"/>
        <w:jc w:val="center"/>
        <w:rPr>
          <w:rFonts w:hint="eastAsia" w:ascii="宋体" w:eastAsia="宋体"/>
          <w:b/>
          <w:bCs/>
          <w:color w:val="auto"/>
          <w:sz w:val="32"/>
          <w:szCs w:val="32"/>
          <w:highlight w:val="none"/>
          <w:lang w:eastAsia="zh-CN"/>
        </w:rPr>
      </w:pPr>
      <w:r>
        <w:rPr>
          <w:rFonts w:hint="eastAsia" w:ascii="宋体"/>
          <w:b/>
          <w:color w:val="auto"/>
          <w:sz w:val="32"/>
          <w:highlight w:val="none"/>
        </w:rPr>
        <w:t>强制性资格条件表</w:t>
      </w:r>
    </w:p>
    <w:tbl>
      <w:tblPr>
        <w:tblStyle w:val="18"/>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007"/>
        <w:gridCol w:w="3424"/>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spacing w:line="280" w:lineRule="exact"/>
              <w:jc w:val="center"/>
              <w:rPr>
                <w:rFonts w:ascii="宋体"/>
                <w:b/>
                <w:bCs/>
                <w:color w:val="auto"/>
                <w:sz w:val="24"/>
                <w:highlight w:val="none"/>
              </w:rPr>
            </w:pPr>
            <w:r>
              <w:rPr>
                <w:rFonts w:hint="eastAsia" w:ascii="宋体"/>
                <w:b/>
                <w:bCs/>
                <w:color w:val="auto"/>
                <w:sz w:val="24"/>
                <w:highlight w:val="none"/>
              </w:rPr>
              <w:t>人员</w:t>
            </w:r>
          </w:p>
        </w:tc>
        <w:tc>
          <w:tcPr>
            <w:tcW w:w="1007" w:type="dxa"/>
            <w:vAlign w:val="center"/>
          </w:tcPr>
          <w:p>
            <w:pPr>
              <w:spacing w:line="280" w:lineRule="exact"/>
              <w:jc w:val="center"/>
              <w:rPr>
                <w:rFonts w:ascii="宋体"/>
                <w:b/>
                <w:bCs/>
                <w:color w:val="auto"/>
                <w:sz w:val="24"/>
                <w:highlight w:val="none"/>
              </w:rPr>
            </w:pPr>
            <w:r>
              <w:rPr>
                <w:rFonts w:hint="eastAsia" w:ascii="宋体"/>
                <w:b/>
                <w:bCs/>
                <w:color w:val="auto"/>
                <w:sz w:val="24"/>
                <w:highlight w:val="none"/>
              </w:rPr>
              <w:t>人数</w:t>
            </w:r>
          </w:p>
        </w:tc>
        <w:tc>
          <w:tcPr>
            <w:tcW w:w="3424" w:type="dxa"/>
            <w:vAlign w:val="center"/>
          </w:tcPr>
          <w:p>
            <w:pPr>
              <w:spacing w:line="280" w:lineRule="exact"/>
              <w:jc w:val="center"/>
              <w:rPr>
                <w:rFonts w:ascii="宋体"/>
                <w:b/>
                <w:bCs/>
                <w:color w:val="auto"/>
                <w:sz w:val="24"/>
                <w:highlight w:val="none"/>
              </w:rPr>
            </w:pPr>
            <w:r>
              <w:rPr>
                <w:rFonts w:hint="eastAsia" w:ascii="宋体"/>
                <w:b/>
                <w:bCs/>
                <w:color w:val="auto"/>
                <w:sz w:val="24"/>
                <w:highlight w:val="none"/>
              </w:rPr>
              <w:t>资历要求</w:t>
            </w:r>
          </w:p>
        </w:tc>
        <w:tc>
          <w:tcPr>
            <w:tcW w:w="2769" w:type="dxa"/>
            <w:vAlign w:val="center"/>
          </w:tcPr>
          <w:p>
            <w:pPr>
              <w:spacing w:line="300" w:lineRule="exact"/>
              <w:jc w:val="center"/>
              <w:rPr>
                <w:rFonts w:ascii="宋体"/>
                <w:b/>
                <w:color w:val="auto"/>
                <w:sz w:val="24"/>
                <w:highlight w:val="none"/>
              </w:rPr>
            </w:pPr>
            <w:r>
              <w:rPr>
                <w:rFonts w:hint="eastAsia" w:ascii="宋体"/>
                <w:b/>
                <w:color w:val="auto"/>
                <w:sz w:val="24"/>
                <w:highlight w:val="none"/>
              </w:rPr>
              <w:t>投标人对能达到程度的简述</w:t>
            </w:r>
          </w:p>
          <w:p>
            <w:pPr>
              <w:spacing w:line="280" w:lineRule="exact"/>
              <w:jc w:val="center"/>
              <w:rPr>
                <w:rFonts w:ascii="宋体"/>
                <w:bCs/>
                <w:color w:val="auto"/>
                <w:sz w:val="24"/>
                <w:highlight w:val="none"/>
              </w:rPr>
            </w:pPr>
            <w:r>
              <w:rPr>
                <w:rFonts w:hint="eastAsia" w:ascii="宋体"/>
                <w:b/>
                <w:color w:val="auto"/>
                <w:sz w:val="24"/>
                <w:highlight w:val="none"/>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总监</w:t>
            </w:r>
          </w:p>
        </w:tc>
        <w:tc>
          <w:tcPr>
            <w:tcW w:w="1007" w:type="dxa"/>
            <w:vAlign w:val="center"/>
          </w:tcPr>
          <w:p>
            <w:pPr>
              <w:jc w:val="center"/>
              <w:rPr>
                <w:rFonts w:ascii="宋体"/>
                <w:b/>
                <w:bCs/>
                <w:color w:val="auto"/>
                <w:sz w:val="24"/>
                <w:highlight w:val="none"/>
              </w:rPr>
            </w:pPr>
            <w:r>
              <w:rPr>
                <w:rFonts w:hint="eastAsia" w:ascii="宋体"/>
                <w:b/>
                <w:bCs/>
                <w:color w:val="auto"/>
                <w:sz w:val="24"/>
                <w:highlight w:val="none"/>
              </w:rPr>
              <w:t>1</w:t>
            </w:r>
          </w:p>
        </w:tc>
        <w:tc>
          <w:tcPr>
            <w:tcW w:w="3424" w:type="dxa"/>
            <w:vAlign w:val="center"/>
          </w:tcPr>
          <w:p>
            <w:pPr>
              <w:rPr>
                <w:rFonts w:ascii="宋体"/>
                <w:b/>
                <w:bCs/>
                <w:color w:val="auto"/>
                <w:sz w:val="24"/>
                <w:highlight w:val="none"/>
              </w:rPr>
            </w:pPr>
            <w:r>
              <w:rPr>
                <w:rFonts w:hint="eastAsia" w:ascii="宋体"/>
                <w:b/>
                <w:bCs/>
                <w:color w:val="auto"/>
                <w:sz w:val="24"/>
                <w:highlight w:val="none"/>
              </w:rPr>
              <w:t>建设部注册监理工程师 (房屋建筑工程专业)。</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房屋建筑工程专业</w:t>
            </w:r>
          </w:p>
          <w:p>
            <w:pPr>
              <w:jc w:val="center"/>
              <w:rPr>
                <w:rFonts w:ascii="宋体"/>
                <w:b/>
                <w:bCs/>
                <w:color w:val="auto"/>
                <w:sz w:val="24"/>
                <w:highlight w:val="none"/>
              </w:rPr>
            </w:pPr>
            <w:r>
              <w:rPr>
                <w:rFonts w:hint="eastAsia" w:ascii="宋体"/>
                <w:b/>
                <w:bCs/>
                <w:color w:val="auto"/>
                <w:sz w:val="24"/>
                <w:highlight w:val="none"/>
              </w:rPr>
              <w:t>监理工程师</w:t>
            </w:r>
          </w:p>
          <w:p>
            <w:pPr>
              <w:jc w:val="center"/>
              <w:rPr>
                <w:rFonts w:ascii="宋体"/>
                <w:b/>
                <w:bCs/>
                <w:color w:val="auto"/>
                <w:sz w:val="24"/>
                <w:highlight w:val="none"/>
              </w:rPr>
            </w:pPr>
            <w:r>
              <w:rPr>
                <w:rFonts w:hint="eastAsia" w:ascii="宋体"/>
                <w:b/>
                <w:bCs/>
                <w:color w:val="auto"/>
                <w:sz w:val="24"/>
                <w:highlight w:val="none"/>
              </w:rPr>
              <w:t>（可兼任总监代表）</w:t>
            </w:r>
          </w:p>
        </w:tc>
        <w:tc>
          <w:tcPr>
            <w:tcW w:w="1007" w:type="dxa"/>
            <w:vAlign w:val="center"/>
          </w:tcPr>
          <w:p>
            <w:pPr>
              <w:jc w:val="center"/>
              <w:rPr>
                <w:rFonts w:hint="eastAsia" w:ascii="宋体" w:eastAsia="宋体"/>
                <w:b/>
                <w:bCs/>
                <w:color w:val="auto"/>
                <w:sz w:val="24"/>
                <w:highlight w:val="none"/>
                <w:lang w:eastAsia="zh-CN"/>
              </w:rPr>
            </w:pPr>
            <w:r>
              <w:rPr>
                <w:rFonts w:hint="eastAsia" w:ascii="宋体"/>
                <w:b/>
                <w:bCs/>
                <w:color w:val="auto"/>
                <w:sz w:val="24"/>
                <w:highlight w:val="none"/>
              </w:rPr>
              <w:t>≥</w:t>
            </w:r>
            <w:r>
              <w:rPr>
                <w:rFonts w:hint="eastAsia" w:ascii="宋体"/>
                <w:b/>
                <w:bCs/>
                <w:color w:val="auto"/>
                <w:sz w:val="24"/>
                <w:highlight w:val="none"/>
                <w:lang w:val="en-US" w:eastAsia="zh-CN"/>
              </w:rPr>
              <w:t>5</w:t>
            </w:r>
          </w:p>
        </w:tc>
        <w:tc>
          <w:tcPr>
            <w:tcW w:w="3424" w:type="dxa"/>
            <w:vAlign w:val="center"/>
          </w:tcPr>
          <w:p>
            <w:pPr>
              <w:rPr>
                <w:rFonts w:ascii="宋体"/>
                <w:b/>
                <w:bCs/>
                <w:color w:val="auto"/>
                <w:sz w:val="24"/>
                <w:highlight w:val="none"/>
              </w:rPr>
            </w:pPr>
            <w:r>
              <w:rPr>
                <w:rFonts w:hint="eastAsia" w:ascii="宋体"/>
                <w:b/>
                <w:bCs/>
                <w:color w:val="auto"/>
                <w:sz w:val="24"/>
                <w:highlight w:val="none"/>
              </w:rPr>
              <w:t>具有全国注册监理工程师资格或省级监理工程师资格或市级及以上专业监理工程师培训合格证书。</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机电安装工程专业</w:t>
            </w:r>
          </w:p>
          <w:p>
            <w:pPr>
              <w:jc w:val="center"/>
              <w:rPr>
                <w:rFonts w:ascii="宋体"/>
                <w:b/>
                <w:bCs/>
                <w:color w:val="auto"/>
                <w:sz w:val="24"/>
                <w:highlight w:val="none"/>
              </w:rPr>
            </w:pPr>
            <w:r>
              <w:rPr>
                <w:rFonts w:hint="eastAsia" w:ascii="宋体"/>
                <w:b/>
                <w:bCs/>
                <w:color w:val="auto"/>
                <w:sz w:val="24"/>
                <w:highlight w:val="none"/>
              </w:rPr>
              <w:t>监理工程师</w:t>
            </w:r>
          </w:p>
        </w:tc>
        <w:tc>
          <w:tcPr>
            <w:tcW w:w="1007" w:type="dxa"/>
            <w:vAlign w:val="center"/>
          </w:tcPr>
          <w:p>
            <w:pPr>
              <w:jc w:val="center"/>
              <w:rPr>
                <w:rFonts w:ascii="宋体"/>
                <w:b/>
                <w:bCs/>
                <w:color w:val="auto"/>
                <w:sz w:val="24"/>
                <w:highlight w:val="none"/>
              </w:rPr>
            </w:pPr>
            <w:r>
              <w:rPr>
                <w:rFonts w:hint="eastAsia" w:ascii="宋体"/>
                <w:b/>
                <w:bCs/>
                <w:color w:val="auto"/>
                <w:sz w:val="24"/>
                <w:highlight w:val="none"/>
              </w:rPr>
              <w:t>≥1</w:t>
            </w:r>
          </w:p>
        </w:tc>
        <w:tc>
          <w:tcPr>
            <w:tcW w:w="3424" w:type="dxa"/>
            <w:vAlign w:val="center"/>
          </w:tcPr>
          <w:p>
            <w:pPr>
              <w:rPr>
                <w:rFonts w:ascii="宋体"/>
                <w:b/>
                <w:bCs/>
                <w:color w:val="auto"/>
                <w:sz w:val="24"/>
                <w:highlight w:val="none"/>
              </w:rPr>
            </w:pPr>
            <w:r>
              <w:rPr>
                <w:rFonts w:hint="eastAsia" w:ascii="宋体"/>
                <w:b/>
                <w:bCs/>
                <w:color w:val="auto"/>
                <w:sz w:val="24"/>
                <w:highlight w:val="none"/>
              </w:rPr>
              <w:t>具有全国注册监理工程师资格或省级监理工程师资格或市级及以上专业监理工程师培训合格证书。</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市政公用工程专业</w:t>
            </w:r>
          </w:p>
          <w:p>
            <w:pPr>
              <w:jc w:val="center"/>
              <w:rPr>
                <w:rFonts w:ascii="宋体"/>
                <w:b/>
                <w:bCs/>
                <w:color w:val="auto"/>
                <w:sz w:val="24"/>
                <w:highlight w:val="none"/>
              </w:rPr>
            </w:pPr>
            <w:r>
              <w:rPr>
                <w:rFonts w:hint="eastAsia" w:ascii="宋体"/>
                <w:b/>
                <w:bCs/>
                <w:color w:val="auto"/>
                <w:sz w:val="24"/>
                <w:highlight w:val="none"/>
              </w:rPr>
              <w:t>监理工程师</w:t>
            </w:r>
          </w:p>
        </w:tc>
        <w:tc>
          <w:tcPr>
            <w:tcW w:w="1007" w:type="dxa"/>
            <w:vAlign w:val="center"/>
          </w:tcPr>
          <w:p>
            <w:pPr>
              <w:jc w:val="center"/>
              <w:rPr>
                <w:rFonts w:ascii="宋体"/>
                <w:b/>
                <w:bCs/>
                <w:color w:val="auto"/>
                <w:sz w:val="24"/>
                <w:highlight w:val="none"/>
              </w:rPr>
            </w:pPr>
            <w:r>
              <w:rPr>
                <w:rFonts w:hint="eastAsia" w:ascii="宋体"/>
                <w:b/>
                <w:bCs/>
                <w:color w:val="auto"/>
                <w:sz w:val="24"/>
                <w:highlight w:val="none"/>
              </w:rPr>
              <w:t>≥1</w:t>
            </w:r>
          </w:p>
        </w:tc>
        <w:tc>
          <w:tcPr>
            <w:tcW w:w="3424" w:type="dxa"/>
            <w:vAlign w:val="center"/>
          </w:tcPr>
          <w:p>
            <w:pPr>
              <w:rPr>
                <w:rFonts w:ascii="宋体"/>
                <w:b/>
                <w:bCs/>
                <w:color w:val="auto"/>
                <w:sz w:val="24"/>
                <w:highlight w:val="none"/>
              </w:rPr>
            </w:pPr>
            <w:r>
              <w:rPr>
                <w:rFonts w:hint="eastAsia" w:ascii="宋体"/>
                <w:b/>
                <w:bCs/>
                <w:color w:val="auto"/>
                <w:sz w:val="24"/>
                <w:highlight w:val="none"/>
              </w:rPr>
              <w:t>具有全国注册监理工程师资格或省级监理工程师资格或市级及以上专业监理工程师培训合格证书。</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房屋建筑工程专业</w:t>
            </w:r>
          </w:p>
          <w:p>
            <w:pPr>
              <w:jc w:val="center"/>
              <w:rPr>
                <w:rFonts w:ascii="宋体"/>
                <w:b/>
                <w:bCs/>
                <w:color w:val="auto"/>
                <w:sz w:val="24"/>
                <w:highlight w:val="none"/>
              </w:rPr>
            </w:pPr>
            <w:r>
              <w:rPr>
                <w:rFonts w:hint="eastAsia" w:ascii="宋体"/>
                <w:b/>
                <w:bCs/>
                <w:color w:val="auto"/>
                <w:sz w:val="24"/>
                <w:highlight w:val="none"/>
              </w:rPr>
              <w:t>监理员</w:t>
            </w:r>
          </w:p>
        </w:tc>
        <w:tc>
          <w:tcPr>
            <w:tcW w:w="1007" w:type="dxa"/>
            <w:vAlign w:val="center"/>
          </w:tcPr>
          <w:p>
            <w:pPr>
              <w:jc w:val="center"/>
              <w:rPr>
                <w:rFonts w:hint="eastAsia" w:ascii="宋体" w:eastAsia="宋体"/>
                <w:b/>
                <w:bCs/>
                <w:color w:val="auto"/>
                <w:sz w:val="24"/>
                <w:highlight w:val="none"/>
                <w:lang w:eastAsia="zh-CN"/>
              </w:rPr>
            </w:pPr>
            <w:r>
              <w:rPr>
                <w:rFonts w:hint="eastAsia" w:ascii="宋体"/>
                <w:b/>
                <w:bCs/>
                <w:color w:val="auto"/>
                <w:sz w:val="24"/>
                <w:highlight w:val="none"/>
              </w:rPr>
              <w:t>≥</w:t>
            </w:r>
            <w:r>
              <w:rPr>
                <w:rFonts w:hint="eastAsia" w:ascii="宋体"/>
                <w:b/>
                <w:bCs/>
                <w:color w:val="auto"/>
                <w:sz w:val="24"/>
                <w:highlight w:val="none"/>
                <w:lang w:val="en-US" w:eastAsia="zh-CN"/>
              </w:rPr>
              <w:t>6</w:t>
            </w:r>
          </w:p>
        </w:tc>
        <w:tc>
          <w:tcPr>
            <w:tcW w:w="3424" w:type="dxa"/>
            <w:vAlign w:val="center"/>
          </w:tcPr>
          <w:p>
            <w:pPr>
              <w:rPr>
                <w:rFonts w:ascii="宋体"/>
                <w:b/>
                <w:bCs/>
                <w:color w:val="auto"/>
                <w:sz w:val="24"/>
                <w:highlight w:val="none"/>
              </w:rPr>
            </w:pPr>
            <w:r>
              <w:rPr>
                <w:rFonts w:hint="eastAsia" w:ascii="宋体"/>
                <w:b/>
                <w:bCs/>
                <w:color w:val="auto"/>
                <w:sz w:val="24"/>
                <w:highlight w:val="none"/>
              </w:rPr>
              <w:t>监理员及以上资格或持有监理上岗证或监理员培训合格证。</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市政公用工程专业</w:t>
            </w:r>
          </w:p>
          <w:p>
            <w:pPr>
              <w:jc w:val="center"/>
              <w:rPr>
                <w:rFonts w:ascii="宋体"/>
                <w:b/>
                <w:bCs/>
                <w:color w:val="auto"/>
                <w:sz w:val="24"/>
                <w:highlight w:val="none"/>
              </w:rPr>
            </w:pPr>
            <w:r>
              <w:rPr>
                <w:rFonts w:hint="eastAsia" w:ascii="宋体"/>
                <w:b/>
                <w:bCs/>
                <w:color w:val="auto"/>
                <w:sz w:val="24"/>
                <w:highlight w:val="none"/>
              </w:rPr>
              <w:t>监理员</w:t>
            </w:r>
          </w:p>
        </w:tc>
        <w:tc>
          <w:tcPr>
            <w:tcW w:w="1007" w:type="dxa"/>
            <w:vAlign w:val="center"/>
          </w:tcPr>
          <w:p>
            <w:pPr>
              <w:jc w:val="center"/>
              <w:rPr>
                <w:rFonts w:ascii="宋体"/>
                <w:b/>
                <w:bCs/>
                <w:color w:val="auto"/>
                <w:sz w:val="24"/>
                <w:highlight w:val="none"/>
              </w:rPr>
            </w:pPr>
            <w:r>
              <w:rPr>
                <w:rFonts w:hint="eastAsia" w:ascii="宋体"/>
                <w:b/>
                <w:bCs/>
                <w:color w:val="auto"/>
                <w:sz w:val="24"/>
                <w:highlight w:val="none"/>
              </w:rPr>
              <w:t>≥1</w:t>
            </w:r>
          </w:p>
        </w:tc>
        <w:tc>
          <w:tcPr>
            <w:tcW w:w="3424" w:type="dxa"/>
            <w:vAlign w:val="center"/>
          </w:tcPr>
          <w:p>
            <w:pPr>
              <w:rPr>
                <w:rFonts w:ascii="宋体"/>
                <w:b/>
                <w:bCs/>
                <w:color w:val="auto"/>
                <w:sz w:val="24"/>
                <w:highlight w:val="none"/>
              </w:rPr>
            </w:pPr>
            <w:r>
              <w:rPr>
                <w:rFonts w:hint="eastAsia" w:ascii="宋体"/>
                <w:b/>
                <w:bCs/>
                <w:color w:val="auto"/>
                <w:sz w:val="24"/>
                <w:highlight w:val="none"/>
              </w:rPr>
              <w:t>监理员及以上资格或持有监理上岗证或监理员培训合格证。</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机电安装工程专业</w:t>
            </w:r>
          </w:p>
          <w:p>
            <w:pPr>
              <w:jc w:val="center"/>
              <w:rPr>
                <w:rFonts w:ascii="宋体"/>
                <w:b/>
                <w:bCs/>
                <w:color w:val="auto"/>
                <w:sz w:val="24"/>
                <w:highlight w:val="none"/>
              </w:rPr>
            </w:pPr>
            <w:r>
              <w:rPr>
                <w:rFonts w:hint="eastAsia" w:ascii="宋体"/>
                <w:b/>
                <w:bCs/>
                <w:color w:val="auto"/>
                <w:sz w:val="24"/>
                <w:highlight w:val="none"/>
              </w:rPr>
              <w:t>监理员</w:t>
            </w:r>
          </w:p>
        </w:tc>
        <w:tc>
          <w:tcPr>
            <w:tcW w:w="1007" w:type="dxa"/>
            <w:vAlign w:val="center"/>
          </w:tcPr>
          <w:p>
            <w:pPr>
              <w:jc w:val="center"/>
              <w:rPr>
                <w:rFonts w:ascii="宋体"/>
                <w:b/>
                <w:bCs/>
                <w:color w:val="auto"/>
                <w:sz w:val="24"/>
                <w:highlight w:val="none"/>
              </w:rPr>
            </w:pPr>
            <w:r>
              <w:rPr>
                <w:rFonts w:hint="eastAsia" w:ascii="宋体"/>
                <w:b/>
                <w:bCs/>
                <w:color w:val="auto"/>
                <w:sz w:val="24"/>
                <w:highlight w:val="none"/>
              </w:rPr>
              <w:t>≥1</w:t>
            </w:r>
          </w:p>
        </w:tc>
        <w:tc>
          <w:tcPr>
            <w:tcW w:w="3424" w:type="dxa"/>
            <w:vAlign w:val="center"/>
          </w:tcPr>
          <w:p>
            <w:pPr>
              <w:rPr>
                <w:rFonts w:ascii="宋体"/>
                <w:b/>
                <w:bCs/>
                <w:color w:val="auto"/>
                <w:sz w:val="24"/>
                <w:highlight w:val="none"/>
              </w:rPr>
            </w:pPr>
            <w:r>
              <w:rPr>
                <w:rFonts w:hint="eastAsia" w:ascii="宋体"/>
                <w:b/>
                <w:bCs/>
                <w:color w:val="auto"/>
                <w:sz w:val="24"/>
                <w:highlight w:val="none"/>
              </w:rPr>
              <w:t>监理员及以上资格或持有监理上岗证或监理员培训合格证。</w:t>
            </w:r>
          </w:p>
        </w:tc>
        <w:tc>
          <w:tcPr>
            <w:tcW w:w="2769" w:type="dxa"/>
            <w:vAlign w:val="center"/>
          </w:tcPr>
          <w:p>
            <w:pPr>
              <w:jc w:val="center"/>
              <w:rPr>
                <w:rFonts w:ascii="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581" w:type="dxa"/>
            <w:vAlign w:val="center"/>
          </w:tcPr>
          <w:p>
            <w:pPr>
              <w:jc w:val="center"/>
              <w:rPr>
                <w:rFonts w:ascii="宋体"/>
                <w:b/>
                <w:bCs/>
                <w:color w:val="auto"/>
                <w:sz w:val="24"/>
                <w:highlight w:val="none"/>
              </w:rPr>
            </w:pPr>
            <w:r>
              <w:rPr>
                <w:rFonts w:hint="eastAsia" w:ascii="宋体"/>
                <w:b/>
                <w:bCs/>
                <w:color w:val="auto"/>
                <w:sz w:val="24"/>
                <w:highlight w:val="none"/>
              </w:rPr>
              <w:t>造价管理人员</w:t>
            </w:r>
          </w:p>
        </w:tc>
        <w:tc>
          <w:tcPr>
            <w:tcW w:w="1007" w:type="dxa"/>
            <w:vAlign w:val="center"/>
          </w:tcPr>
          <w:p>
            <w:pPr>
              <w:jc w:val="center"/>
              <w:rPr>
                <w:rFonts w:ascii="宋体"/>
                <w:b/>
                <w:bCs/>
                <w:color w:val="auto"/>
                <w:sz w:val="24"/>
                <w:highlight w:val="none"/>
              </w:rPr>
            </w:pPr>
            <w:r>
              <w:rPr>
                <w:rFonts w:hint="eastAsia" w:ascii="宋体"/>
                <w:b/>
                <w:bCs/>
                <w:color w:val="auto"/>
                <w:sz w:val="24"/>
                <w:highlight w:val="none"/>
              </w:rPr>
              <w:t>≥1</w:t>
            </w:r>
          </w:p>
        </w:tc>
        <w:tc>
          <w:tcPr>
            <w:tcW w:w="3424" w:type="dxa"/>
            <w:vAlign w:val="center"/>
          </w:tcPr>
          <w:p>
            <w:pPr>
              <w:pStyle w:val="9"/>
              <w:rPr>
                <w:rFonts w:ascii="宋体" w:hAnsi="Calibri" w:eastAsia="宋体" w:cs="Times New Roman"/>
                <w:b/>
                <w:bCs/>
                <w:color w:val="auto"/>
                <w:sz w:val="24"/>
                <w:szCs w:val="22"/>
                <w:highlight w:val="none"/>
              </w:rPr>
            </w:pPr>
            <w:r>
              <w:rPr>
                <w:rFonts w:hint="eastAsia" w:ascii="宋体" w:hAnsi="Calibri" w:eastAsia="宋体" w:cs="Times New Roman"/>
                <w:b/>
                <w:bCs/>
                <w:color w:val="auto"/>
                <w:sz w:val="24"/>
                <w:szCs w:val="22"/>
                <w:highlight w:val="none"/>
              </w:rPr>
              <w:t>全国注册造价工程师（</w:t>
            </w:r>
            <w:r>
              <w:rPr>
                <w:rFonts w:hint="eastAsia" w:ascii="宋体" w:hAnsi="Calibri" w:eastAsia="宋体" w:cs="Times New Roman"/>
                <w:b/>
                <w:bCs/>
                <w:color w:val="auto"/>
                <w:sz w:val="24"/>
                <w:szCs w:val="22"/>
                <w:highlight w:val="none"/>
                <w:lang w:eastAsia="zh-CN"/>
              </w:rPr>
              <w:t>包含原</w:t>
            </w:r>
            <w:r>
              <w:rPr>
                <w:rFonts w:hint="eastAsia" w:ascii="宋体" w:hAnsi="Calibri" w:eastAsia="宋体" w:cs="Times New Roman"/>
                <w:b/>
                <w:bCs/>
                <w:color w:val="auto"/>
                <w:sz w:val="24"/>
                <w:szCs w:val="22"/>
                <w:highlight w:val="none"/>
              </w:rPr>
              <w:t>注册造价工程师</w:t>
            </w:r>
            <w:r>
              <w:rPr>
                <w:rFonts w:hint="eastAsia" w:ascii="宋体" w:hAnsi="Calibri" w:eastAsia="宋体" w:cs="Times New Roman"/>
                <w:b/>
                <w:bCs/>
                <w:color w:val="auto"/>
                <w:sz w:val="24"/>
                <w:szCs w:val="22"/>
                <w:highlight w:val="none"/>
                <w:lang w:eastAsia="zh-CN"/>
              </w:rPr>
              <w:t>、一级造价师或二级造价师</w:t>
            </w:r>
            <w:r>
              <w:rPr>
                <w:rFonts w:hint="eastAsia" w:ascii="宋体" w:hAnsi="Calibri" w:eastAsia="宋体" w:cs="Times New Roman"/>
                <w:b/>
                <w:bCs/>
                <w:color w:val="auto"/>
                <w:sz w:val="24"/>
                <w:szCs w:val="22"/>
                <w:highlight w:val="none"/>
                <w:lang w:eastAsia="zh-CN"/>
              </w:rPr>
              <w:t>，</w:t>
            </w:r>
            <w:r>
              <w:rPr>
                <w:rFonts w:hint="eastAsia" w:ascii="宋体" w:hAnsi="Calibri" w:eastAsia="宋体" w:cs="Times New Roman"/>
                <w:b/>
                <w:bCs/>
                <w:color w:val="auto"/>
                <w:sz w:val="24"/>
                <w:szCs w:val="22"/>
                <w:highlight w:val="none"/>
              </w:rPr>
              <w:t>可单独配备或项目班子其他成员兼任）</w:t>
            </w:r>
          </w:p>
        </w:tc>
        <w:tc>
          <w:tcPr>
            <w:tcW w:w="2769" w:type="dxa"/>
            <w:vAlign w:val="center"/>
          </w:tcPr>
          <w:p>
            <w:pPr>
              <w:jc w:val="center"/>
              <w:rPr>
                <w:rFonts w:ascii="宋体"/>
                <w:b/>
                <w:bCs/>
                <w:color w:val="auto"/>
                <w:sz w:val="24"/>
                <w:highlight w:val="none"/>
              </w:rPr>
            </w:pPr>
          </w:p>
        </w:tc>
      </w:tr>
    </w:tbl>
    <w:p>
      <w:pPr>
        <w:pStyle w:val="3"/>
        <w:ind w:firstLine="0" w:firstLineChars="0"/>
        <w:rPr>
          <w:rFonts w:ascii="宋体"/>
          <w:b/>
          <w:color w:val="auto"/>
          <w:highlight w:val="none"/>
        </w:rPr>
      </w:pPr>
    </w:p>
    <w:p>
      <w:pPr>
        <w:spacing w:line="440" w:lineRule="exact"/>
        <w:ind w:firstLine="3132" w:firstLineChars="1300"/>
        <w:rPr>
          <w:rFonts w:ascii="宋体"/>
          <w:b/>
          <w:color w:val="auto"/>
          <w:sz w:val="24"/>
          <w:highlight w:val="none"/>
        </w:rPr>
      </w:pPr>
      <w:r>
        <w:rPr>
          <w:rFonts w:hint="eastAsia" w:ascii="宋体"/>
          <w:b/>
          <w:color w:val="auto"/>
          <w:sz w:val="24"/>
          <w:highlight w:val="none"/>
        </w:rPr>
        <w:t>投标人：                   （盖单位章）</w:t>
      </w:r>
    </w:p>
    <w:p>
      <w:pPr>
        <w:spacing w:line="440" w:lineRule="exact"/>
        <w:rPr>
          <w:rFonts w:ascii="宋体"/>
          <w:b/>
          <w:color w:val="auto"/>
          <w:sz w:val="24"/>
          <w:highlight w:val="none"/>
        </w:rPr>
      </w:pPr>
      <w:r>
        <w:rPr>
          <w:rFonts w:hint="eastAsia" w:ascii="宋体"/>
          <w:b/>
          <w:color w:val="auto"/>
          <w:sz w:val="24"/>
          <w:highlight w:val="none"/>
        </w:rPr>
        <w:t xml:space="preserve">                       法定代表人（或其委托代理人）：     （签字或盖章）</w:t>
      </w:r>
    </w:p>
    <w:p>
      <w:pPr>
        <w:spacing w:line="440" w:lineRule="exact"/>
        <w:rPr>
          <w:rFonts w:ascii="宋体"/>
          <w:bCs/>
          <w:color w:val="auto"/>
          <w:highlight w:val="none"/>
        </w:rPr>
      </w:pPr>
      <w:r>
        <w:rPr>
          <w:rFonts w:hint="eastAsia" w:ascii="宋体"/>
          <w:b/>
          <w:color w:val="auto"/>
          <w:sz w:val="24"/>
          <w:highlight w:val="none"/>
        </w:rPr>
        <w:t xml:space="preserve">                                         年   月    日</w:t>
      </w:r>
      <w:r>
        <w:rPr>
          <w:rFonts w:hint="eastAsia" w:ascii="宋体"/>
          <w:bCs/>
          <w:color w:val="auto"/>
          <w:highlight w:val="none"/>
        </w:rPr>
        <w:t xml:space="preserve"> </w:t>
      </w:r>
    </w:p>
    <w:p>
      <w:pPr>
        <w:spacing w:line="440" w:lineRule="exact"/>
        <w:rPr>
          <w:rFonts w:ascii="宋体"/>
          <w:bCs/>
          <w:color w:val="auto"/>
          <w:sz w:val="24"/>
          <w:highlight w:val="none"/>
        </w:rPr>
      </w:pPr>
      <w:r>
        <w:rPr>
          <w:rFonts w:hint="eastAsia" w:ascii="宋体"/>
          <w:bCs/>
          <w:color w:val="auto"/>
          <w:sz w:val="24"/>
          <w:highlight w:val="none"/>
        </w:rPr>
        <w:t>注：1、本表后须附表中人员的身份证、注册证书、培训合格证书或上岗证的复印件（复印件清晰可辨，除身份证和毕业证外，其他证件原件另装备查）。</w:t>
      </w:r>
    </w:p>
    <w:p>
      <w:pPr>
        <w:spacing w:line="440" w:lineRule="exact"/>
        <w:rPr>
          <w:rFonts w:ascii="宋体"/>
          <w:bCs/>
          <w:color w:val="auto"/>
          <w:sz w:val="24"/>
          <w:highlight w:val="none"/>
        </w:rPr>
      </w:pPr>
      <w:r>
        <w:rPr>
          <w:rFonts w:hint="eastAsia" w:ascii="宋体"/>
          <w:bCs/>
          <w:color w:val="auto"/>
          <w:sz w:val="24"/>
          <w:highlight w:val="none"/>
        </w:rPr>
        <w:t>2、除不可抗拒因素之外，总监不得更换，其他人员如要更换需经发包单位同意。擅自更换或不到位属违约行为。</w:t>
      </w:r>
    </w:p>
    <w:p>
      <w:pPr>
        <w:spacing w:line="440" w:lineRule="exact"/>
        <w:rPr>
          <w:rFonts w:ascii="宋体"/>
          <w:bCs/>
          <w:color w:val="auto"/>
          <w:sz w:val="24"/>
          <w:highlight w:val="none"/>
        </w:rPr>
      </w:pPr>
      <w:r>
        <w:rPr>
          <w:rFonts w:hint="eastAsia" w:ascii="宋体"/>
          <w:bCs/>
          <w:color w:val="auto"/>
          <w:sz w:val="24"/>
          <w:highlight w:val="none"/>
        </w:rPr>
        <w:t>3、从事监理工作经历由各投标单位出具承诺书。</w:t>
      </w:r>
    </w:p>
    <w:p>
      <w:pPr>
        <w:spacing w:line="440" w:lineRule="exact"/>
        <w:rPr>
          <w:rFonts w:hint="eastAsia" w:ascii="宋体"/>
          <w:b/>
          <w:color w:val="auto"/>
          <w:sz w:val="24"/>
          <w:highlight w:val="none"/>
        </w:rPr>
      </w:pPr>
    </w:p>
    <w:p>
      <w:pPr>
        <w:spacing w:line="440" w:lineRule="exact"/>
        <w:rPr>
          <w:rFonts w:ascii="宋体"/>
          <w:color w:val="auto"/>
          <w:sz w:val="24"/>
          <w:highlight w:val="none"/>
        </w:rPr>
      </w:pPr>
      <w:r>
        <w:rPr>
          <w:rFonts w:hint="eastAsia" w:ascii="宋体"/>
          <w:b/>
          <w:color w:val="auto"/>
          <w:sz w:val="24"/>
          <w:highlight w:val="none"/>
        </w:rPr>
        <w:t>表3-3</w:t>
      </w:r>
      <w:r>
        <w:rPr>
          <w:rFonts w:hint="eastAsia" w:ascii="宋体"/>
          <w:color w:val="auto"/>
          <w:sz w:val="24"/>
          <w:highlight w:val="none"/>
        </w:rPr>
        <w:t xml:space="preserve">                    </w:t>
      </w:r>
    </w:p>
    <w:p>
      <w:pPr>
        <w:spacing w:line="440" w:lineRule="exact"/>
        <w:jc w:val="center"/>
        <w:rPr>
          <w:rFonts w:ascii="黑体" w:eastAsia="黑体"/>
          <w:bCs/>
          <w:color w:val="auto"/>
          <w:sz w:val="24"/>
          <w:highlight w:val="none"/>
        </w:rPr>
      </w:pPr>
      <w:r>
        <w:rPr>
          <w:rFonts w:hint="eastAsia" w:ascii="黑体" w:eastAsia="黑体"/>
          <w:b/>
          <w:color w:val="auto"/>
          <w:sz w:val="32"/>
          <w:highlight w:val="none"/>
        </w:rPr>
        <w:t>派驻本工程监理人员汇总表</w:t>
      </w:r>
    </w:p>
    <w:p>
      <w:pPr>
        <w:spacing w:line="520" w:lineRule="exact"/>
        <w:rPr>
          <w:rFonts w:ascii="宋体" w:hAnsi="宋体"/>
          <w:color w:val="auto"/>
          <w:sz w:val="24"/>
          <w:highlight w:val="none"/>
        </w:rPr>
      </w:pPr>
      <w:r>
        <w:rPr>
          <w:rFonts w:hint="eastAsia" w:ascii="宋体" w:hAnsi="宋体"/>
          <w:color w:val="auto"/>
          <w:sz w:val="24"/>
          <w:highlight w:val="none"/>
        </w:rPr>
        <w:t xml:space="preserve">工程名称： </w:t>
      </w:r>
    </w:p>
    <w:tbl>
      <w:tblPr>
        <w:tblStyle w:val="18"/>
        <w:tblW w:w="985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948"/>
        <w:gridCol w:w="616"/>
        <w:gridCol w:w="616"/>
        <w:gridCol w:w="1313"/>
        <w:gridCol w:w="713"/>
        <w:gridCol w:w="1099"/>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vAlign w:val="center"/>
          </w:tcPr>
          <w:p>
            <w:pPr>
              <w:spacing w:line="500" w:lineRule="exact"/>
              <w:jc w:val="center"/>
              <w:rPr>
                <w:b/>
                <w:bCs/>
                <w:color w:val="auto"/>
                <w:sz w:val="24"/>
                <w:highlight w:val="none"/>
              </w:rPr>
            </w:pPr>
            <w:r>
              <w:rPr>
                <w:rFonts w:hint="eastAsia"/>
                <w:b/>
                <w:bCs/>
                <w:color w:val="auto"/>
                <w:sz w:val="24"/>
                <w:highlight w:val="none"/>
              </w:rPr>
              <w:t>姓名</w:t>
            </w:r>
          </w:p>
        </w:tc>
        <w:tc>
          <w:tcPr>
            <w:tcW w:w="1948" w:type="dxa"/>
            <w:vAlign w:val="center"/>
          </w:tcPr>
          <w:p>
            <w:pPr>
              <w:spacing w:line="500" w:lineRule="exact"/>
              <w:jc w:val="center"/>
              <w:rPr>
                <w:b/>
                <w:bCs/>
                <w:color w:val="auto"/>
                <w:sz w:val="24"/>
                <w:highlight w:val="none"/>
              </w:rPr>
            </w:pPr>
            <w:r>
              <w:rPr>
                <w:rFonts w:hint="eastAsia"/>
                <w:b/>
                <w:bCs/>
                <w:color w:val="auto"/>
                <w:sz w:val="24"/>
                <w:highlight w:val="none"/>
              </w:rPr>
              <w:t>本工程拟任岗位</w:t>
            </w:r>
          </w:p>
        </w:tc>
        <w:tc>
          <w:tcPr>
            <w:tcW w:w="616" w:type="dxa"/>
            <w:vAlign w:val="center"/>
          </w:tcPr>
          <w:p>
            <w:pPr>
              <w:spacing w:line="500" w:lineRule="exact"/>
              <w:jc w:val="center"/>
              <w:rPr>
                <w:b/>
                <w:bCs/>
                <w:color w:val="auto"/>
                <w:sz w:val="24"/>
                <w:highlight w:val="none"/>
              </w:rPr>
            </w:pPr>
            <w:r>
              <w:rPr>
                <w:rFonts w:hint="eastAsia"/>
                <w:b/>
                <w:bCs/>
                <w:color w:val="auto"/>
                <w:sz w:val="24"/>
                <w:highlight w:val="none"/>
              </w:rPr>
              <w:t>年</w:t>
            </w:r>
          </w:p>
          <w:p>
            <w:pPr>
              <w:spacing w:line="500" w:lineRule="exact"/>
              <w:jc w:val="center"/>
              <w:rPr>
                <w:b/>
                <w:bCs/>
                <w:color w:val="auto"/>
                <w:sz w:val="24"/>
                <w:highlight w:val="none"/>
              </w:rPr>
            </w:pPr>
            <w:r>
              <w:rPr>
                <w:rFonts w:hint="eastAsia"/>
                <w:b/>
                <w:bCs/>
                <w:color w:val="auto"/>
                <w:sz w:val="24"/>
                <w:highlight w:val="none"/>
              </w:rPr>
              <w:t>龄</w:t>
            </w:r>
          </w:p>
        </w:tc>
        <w:tc>
          <w:tcPr>
            <w:tcW w:w="616" w:type="dxa"/>
            <w:vAlign w:val="center"/>
          </w:tcPr>
          <w:p>
            <w:pPr>
              <w:spacing w:line="500" w:lineRule="exact"/>
              <w:jc w:val="center"/>
              <w:rPr>
                <w:b/>
                <w:bCs/>
                <w:color w:val="auto"/>
                <w:sz w:val="24"/>
                <w:highlight w:val="none"/>
              </w:rPr>
            </w:pPr>
            <w:r>
              <w:rPr>
                <w:rFonts w:hint="eastAsia"/>
                <w:b/>
                <w:bCs/>
                <w:color w:val="auto"/>
                <w:sz w:val="24"/>
                <w:highlight w:val="none"/>
              </w:rPr>
              <w:t>性</w:t>
            </w:r>
          </w:p>
          <w:p>
            <w:pPr>
              <w:spacing w:line="500" w:lineRule="exact"/>
              <w:jc w:val="center"/>
              <w:rPr>
                <w:b/>
                <w:bCs/>
                <w:color w:val="auto"/>
                <w:sz w:val="24"/>
                <w:highlight w:val="none"/>
              </w:rPr>
            </w:pPr>
            <w:r>
              <w:rPr>
                <w:rFonts w:hint="eastAsia"/>
                <w:b/>
                <w:bCs/>
                <w:color w:val="auto"/>
                <w:sz w:val="24"/>
                <w:highlight w:val="none"/>
              </w:rPr>
              <w:t>别</w:t>
            </w:r>
          </w:p>
        </w:tc>
        <w:tc>
          <w:tcPr>
            <w:tcW w:w="1313" w:type="dxa"/>
            <w:vAlign w:val="center"/>
          </w:tcPr>
          <w:p>
            <w:pPr>
              <w:spacing w:line="500" w:lineRule="exact"/>
              <w:jc w:val="center"/>
              <w:rPr>
                <w:b/>
                <w:bCs/>
                <w:color w:val="auto"/>
                <w:sz w:val="24"/>
                <w:highlight w:val="none"/>
              </w:rPr>
            </w:pPr>
            <w:r>
              <w:rPr>
                <w:rFonts w:hint="eastAsia"/>
                <w:b/>
                <w:bCs/>
                <w:color w:val="auto"/>
                <w:sz w:val="24"/>
                <w:highlight w:val="none"/>
              </w:rPr>
              <w:t>专业</w:t>
            </w:r>
          </w:p>
        </w:tc>
        <w:tc>
          <w:tcPr>
            <w:tcW w:w="713" w:type="dxa"/>
            <w:vAlign w:val="center"/>
          </w:tcPr>
          <w:p>
            <w:pPr>
              <w:spacing w:line="500" w:lineRule="exact"/>
              <w:jc w:val="center"/>
              <w:rPr>
                <w:b/>
                <w:bCs/>
                <w:color w:val="auto"/>
                <w:sz w:val="24"/>
                <w:highlight w:val="none"/>
              </w:rPr>
            </w:pPr>
            <w:r>
              <w:rPr>
                <w:rFonts w:hint="eastAsia"/>
                <w:b/>
                <w:bCs/>
                <w:color w:val="auto"/>
                <w:sz w:val="24"/>
                <w:highlight w:val="none"/>
              </w:rPr>
              <w:t>专业</w:t>
            </w:r>
          </w:p>
          <w:p>
            <w:pPr>
              <w:spacing w:line="500" w:lineRule="exact"/>
              <w:jc w:val="center"/>
              <w:rPr>
                <w:b/>
                <w:bCs/>
                <w:color w:val="auto"/>
                <w:sz w:val="24"/>
                <w:highlight w:val="none"/>
              </w:rPr>
            </w:pPr>
            <w:r>
              <w:rPr>
                <w:rFonts w:hint="eastAsia"/>
                <w:b/>
                <w:bCs/>
                <w:color w:val="auto"/>
                <w:sz w:val="24"/>
                <w:highlight w:val="none"/>
              </w:rPr>
              <w:t>年限</w:t>
            </w:r>
          </w:p>
        </w:tc>
        <w:tc>
          <w:tcPr>
            <w:tcW w:w="1099" w:type="dxa"/>
            <w:vAlign w:val="center"/>
          </w:tcPr>
          <w:p>
            <w:pPr>
              <w:spacing w:line="500" w:lineRule="exact"/>
              <w:jc w:val="center"/>
              <w:rPr>
                <w:b/>
                <w:bCs/>
                <w:color w:val="auto"/>
                <w:sz w:val="24"/>
                <w:highlight w:val="none"/>
              </w:rPr>
            </w:pPr>
            <w:r>
              <w:rPr>
                <w:rFonts w:hint="eastAsia"/>
                <w:b/>
                <w:bCs/>
                <w:color w:val="auto"/>
                <w:sz w:val="24"/>
                <w:highlight w:val="none"/>
              </w:rPr>
              <w:t>职称</w:t>
            </w:r>
          </w:p>
        </w:tc>
        <w:tc>
          <w:tcPr>
            <w:tcW w:w="2542" w:type="dxa"/>
            <w:vAlign w:val="center"/>
          </w:tcPr>
          <w:p>
            <w:pPr>
              <w:spacing w:line="500" w:lineRule="exact"/>
              <w:jc w:val="center"/>
              <w:rPr>
                <w:b/>
                <w:bCs/>
                <w:color w:val="auto"/>
                <w:sz w:val="24"/>
                <w:highlight w:val="none"/>
              </w:rPr>
            </w:pPr>
            <w:r>
              <w:rPr>
                <w:rFonts w:hint="eastAsia"/>
                <w:b/>
                <w:bCs/>
                <w:color w:val="auto"/>
                <w:sz w:val="24"/>
                <w:highlight w:val="none"/>
              </w:rPr>
              <w:t>安排上岗起止时间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楷体_GB2312" w:hAnsi="宋体" w:eastAsia="楷体_GB2312"/>
                <w:color w:val="auto"/>
                <w:sz w:val="24"/>
                <w:highlight w:val="none"/>
              </w:rPr>
            </w:pPr>
          </w:p>
        </w:tc>
        <w:tc>
          <w:tcPr>
            <w:tcW w:w="1948" w:type="dxa"/>
          </w:tcPr>
          <w:p>
            <w:pPr>
              <w:spacing w:line="500" w:lineRule="exact"/>
              <w:jc w:val="center"/>
              <w:rPr>
                <w:rFonts w:ascii="楷体_GB2312" w:hAnsi="宋体" w:eastAsia="楷体_GB2312"/>
                <w:color w:val="auto"/>
                <w:sz w:val="24"/>
                <w:highlight w:val="none"/>
              </w:rPr>
            </w:pPr>
          </w:p>
        </w:tc>
        <w:tc>
          <w:tcPr>
            <w:tcW w:w="616" w:type="dxa"/>
          </w:tcPr>
          <w:p>
            <w:pPr>
              <w:spacing w:line="500" w:lineRule="exact"/>
              <w:jc w:val="center"/>
              <w:rPr>
                <w:rFonts w:ascii="楷体_GB2312" w:hAnsi="宋体" w:eastAsia="楷体_GB2312"/>
                <w:color w:val="auto"/>
                <w:sz w:val="24"/>
                <w:highlight w:val="none"/>
              </w:rPr>
            </w:pPr>
          </w:p>
        </w:tc>
        <w:tc>
          <w:tcPr>
            <w:tcW w:w="616" w:type="dxa"/>
          </w:tcPr>
          <w:p>
            <w:pPr>
              <w:spacing w:line="500" w:lineRule="exact"/>
              <w:jc w:val="center"/>
              <w:rPr>
                <w:rFonts w:ascii="楷体_GB2312" w:hAnsi="宋体" w:eastAsia="楷体_GB2312"/>
                <w:color w:val="auto"/>
                <w:sz w:val="24"/>
                <w:highlight w:val="none"/>
              </w:rPr>
            </w:pPr>
          </w:p>
        </w:tc>
        <w:tc>
          <w:tcPr>
            <w:tcW w:w="1313" w:type="dxa"/>
          </w:tcPr>
          <w:p>
            <w:pPr>
              <w:spacing w:line="500" w:lineRule="exact"/>
              <w:jc w:val="center"/>
              <w:rPr>
                <w:rFonts w:ascii="楷体_GB2312" w:hAnsi="宋体" w:eastAsia="楷体_GB2312"/>
                <w:color w:val="auto"/>
                <w:sz w:val="24"/>
                <w:highlight w:val="none"/>
              </w:rPr>
            </w:pPr>
          </w:p>
        </w:tc>
        <w:tc>
          <w:tcPr>
            <w:tcW w:w="713" w:type="dxa"/>
          </w:tcPr>
          <w:p>
            <w:pPr>
              <w:spacing w:line="500" w:lineRule="exact"/>
              <w:jc w:val="center"/>
              <w:rPr>
                <w:rFonts w:ascii="楷体_GB2312" w:hAnsi="宋体" w:eastAsia="楷体_GB2312"/>
                <w:color w:val="auto"/>
                <w:sz w:val="24"/>
                <w:highlight w:val="none"/>
              </w:rPr>
            </w:pPr>
          </w:p>
        </w:tc>
        <w:tc>
          <w:tcPr>
            <w:tcW w:w="1099" w:type="dxa"/>
          </w:tcPr>
          <w:p>
            <w:pPr>
              <w:spacing w:line="500" w:lineRule="exact"/>
              <w:jc w:val="center"/>
              <w:rPr>
                <w:rFonts w:ascii="楷体_GB2312" w:hAnsi="宋体" w:eastAsia="楷体_GB2312"/>
                <w:color w:val="auto"/>
                <w:sz w:val="24"/>
                <w:highlight w:val="none"/>
              </w:rPr>
            </w:pPr>
          </w:p>
        </w:tc>
        <w:tc>
          <w:tcPr>
            <w:tcW w:w="2542" w:type="dxa"/>
          </w:tcPr>
          <w:p>
            <w:pPr>
              <w:spacing w:line="5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楷体_GB2312" w:hAnsi="宋体" w:eastAsia="楷体_GB2312"/>
                <w:color w:val="auto"/>
                <w:sz w:val="24"/>
                <w:highlight w:val="none"/>
              </w:rPr>
            </w:pPr>
          </w:p>
        </w:tc>
        <w:tc>
          <w:tcPr>
            <w:tcW w:w="1948" w:type="dxa"/>
          </w:tcPr>
          <w:p>
            <w:pPr>
              <w:spacing w:line="500" w:lineRule="exact"/>
              <w:jc w:val="center"/>
              <w:rPr>
                <w:rFonts w:ascii="楷体_GB2312" w:hAnsi="宋体" w:eastAsia="楷体_GB2312"/>
                <w:color w:val="auto"/>
                <w:sz w:val="24"/>
                <w:highlight w:val="none"/>
              </w:rPr>
            </w:pPr>
          </w:p>
        </w:tc>
        <w:tc>
          <w:tcPr>
            <w:tcW w:w="616" w:type="dxa"/>
          </w:tcPr>
          <w:p>
            <w:pPr>
              <w:spacing w:line="500" w:lineRule="exact"/>
              <w:jc w:val="center"/>
              <w:rPr>
                <w:rFonts w:ascii="楷体_GB2312" w:hAnsi="宋体" w:eastAsia="楷体_GB2312"/>
                <w:color w:val="auto"/>
                <w:sz w:val="24"/>
                <w:highlight w:val="none"/>
              </w:rPr>
            </w:pPr>
          </w:p>
        </w:tc>
        <w:tc>
          <w:tcPr>
            <w:tcW w:w="616" w:type="dxa"/>
          </w:tcPr>
          <w:p>
            <w:pPr>
              <w:spacing w:line="500" w:lineRule="exact"/>
              <w:jc w:val="center"/>
              <w:rPr>
                <w:rFonts w:ascii="楷体_GB2312" w:hAnsi="宋体" w:eastAsia="楷体_GB2312"/>
                <w:color w:val="auto"/>
                <w:sz w:val="24"/>
                <w:highlight w:val="none"/>
              </w:rPr>
            </w:pPr>
          </w:p>
        </w:tc>
        <w:tc>
          <w:tcPr>
            <w:tcW w:w="1313" w:type="dxa"/>
          </w:tcPr>
          <w:p>
            <w:pPr>
              <w:spacing w:line="500" w:lineRule="exact"/>
              <w:jc w:val="center"/>
              <w:rPr>
                <w:rFonts w:ascii="楷体_GB2312" w:hAnsi="宋体" w:eastAsia="楷体_GB2312"/>
                <w:color w:val="auto"/>
                <w:sz w:val="24"/>
                <w:highlight w:val="none"/>
              </w:rPr>
            </w:pPr>
          </w:p>
        </w:tc>
        <w:tc>
          <w:tcPr>
            <w:tcW w:w="713" w:type="dxa"/>
          </w:tcPr>
          <w:p>
            <w:pPr>
              <w:spacing w:line="500" w:lineRule="exact"/>
              <w:jc w:val="center"/>
              <w:rPr>
                <w:rFonts w:ascii="楷体_GB2312" w:hAnsi="宋体" w:eastAsia="楷体_GB2312"/>
                <w:color w:val="auto"/>
                <w:sz w:val="24"/>
                <w:highlight w:val="none"/>
              </w:rPr>
            </w:pPr>
          </w:p>
        </w:tc>
        <w:tc>
          <w:tcPr>
            <w:tcW w:w="1099" w:type="dxa"/>
          </w:tcPr>
          <w:p>
            <w:pPr>
              <w:spacing w:line="500" w:lineRule="exact"/>
              <w:jc w:val="center"/>
              <w:rPr>
                <w:rFonts w:ascii="楷体_GB2312" w:hAnsi="宋体" w:eastAsia="楷体_GB2312"/>
                <w:color w:val="auto"/>
                <w:sz w:val="24"/>
                <w:highlight w:val="none"/>
              </w:rPr>
            </w:pPr>
          </w:p>
        </w:tc>
        <w:tc>
          <w:tcPr>
            <w:tcW w:w="2542" w:type="dxa"/>
          </w:tcPr>
          <w:p>
            <w:pPr>
              <w:spacing w:line="5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3" w:type="dxa"/>
          </w:tcPr>
          <w:p>
            <w:pPr>
              <w:spacing w:line="500" w:lineRule="exact"/>
              <w:jc w:val="center"/>
              <w:rPr>
                <w:rFonts w:ascii="楷体_GB2312" w:hAnsi="宋体" w:eastAsia="楷体_GB2312"/>
                <w:color w:val="auto"/>
                <w:sz w:val="24"/>
                <w:highlight w:val="none"/>
              </w:rPr>
            </w:pPr>
          </w:p>
        </w:tc>
        <w:tc>
          <w:tcPr>
            <w:tcW w:w="1948" w:type="dxa"/>
          </w:tcPr>
          <w:p>
            <w:pPr>
              <w:spacing w:line="500" w:lineRule="exact"/>
              <w:jc w:val="center"/>
              <w:rPr>
                <w:rFonts w:ascii="楷体_GB2312" w:hAnsi="宋体" w:eastAsia="楷体_GB2312"/>
                <w:color w:val="auto"/>
                <w:sz w:val="24"/>
                <w:highlight w:val="none"/>
              </w:rPr>
            </w:pPr>
          </w:p>
        </w:tc>
        <w:tc>
          <w:tcPr>
            <w:tcW w:w="616" w:type="dxa"/>
          </w:tcPr>
          <w:p>
            <w:pPr>
              <w:spacing w:line="500" w:lineRule="exact"/>
              <w:jc w:val="center"/>
              <w:rPr>
                <w:rFonts w:ascii="楷体_GB2312" w:hAnsi="宋体" w:eastAsia="楷体_GB2312"/>
                <w:color w:val="auto"/>
                <w:sz w:val="24"/>
                <w:highlight w:val="none"/>
              </w:rPr>
            </w:pPr>
          </w:p>
        </w:tc>
        <w:tc>
          <w:tcPr>
            <w:tcW w:w="616" w:type="dxa"/>
          </w:tcPr>
          <w:p>
            <w:pPr>
              <w:spacing w:line="500" w:lineRule="exact"/>
              <w:jc w:val="center"/>
              <w:rPr>
                <w:rFonts w:ascii="楷体_GB2312" w:hAnsi="宋体" w:eastAsia="楷体_GB2312"/>
                <w:color w:val="auto"/>
                <w:sz w:val="24"/>
                <w:highlight w:val="none"/>
              </w:rPr>
            </w:pPr>
          </w:p>
        </w:tc>
        <w:tc>
          <w:tcPr>
            <w:tcW w:w="1313" w:type="dxa"/>
          </w:tcPr>
          <w:p>
            <w:pPr>
              <w:spacing w:line="500" w:lineRule="exact"/>
              <w:jc w:val="center"/>
              <w:rPr>
                <w:rFonts w:ascii="楷体_GB2312" w:hAnsi="宋体" w:eastAsia="楷体_GB2312"/>
                <w:color w:val="auto"/>
                <w:sz w:val="24"/>
                <w:highlight w:val="none"/>
              </w:rPr>
            </w:pPr>
          </w:p>
        </w:tc>
        <w:tc>
          <w:tcPr>
            <w:tcW w:w="713" w:type="dxa"/>
          </w:tcPr>
          <w:p>
            <w:pPr>
              <w:spacing w:line="500" w:lineRule="exact"/>
              <w:jc w:val="center"/>
              <w:rPr>
                <w:rFonts w:ascii="楷体_GB2312" w:hAnsi="宋体" w:eastAsia="楷体_GB2312"/>
                <w:color w:val="auto"/>
                <w:sz w:val="24"/>
                <w:highlight w:val="none"/>
              </w:rPr>
            </w:pPr>
          </w:p>
        </w:tc>
        <w:tc>
          <w:tcPr>
            <w:tcW w:w="1099" w:type="dxa"/>
          </w:tcPr>
          <w:p>
            <w:pPr>
              <w:spacing w:line="500" w:lineRule="exact"/>
              <w:jc w:val="center"/>
              <w:rPr>
                <w:rFonts w:ascii="楷体_GB2312" w:hAnsi="宋体" w:eastAsia="楷体_GB2312"/>
                <w:color w:val="auto"/>
                <w:sz w:val="24"/>
                <w:highlight w:val="none"/>
              </w:rPr>
            </w:pPr>
          </w:p>
        </w:tc>
        <w:tc>
          <w:tcPr>
            <w:tcW w:w="2542" w:type="dxa"/>
          </w:tcPr>
          <w:p>
            <w:pPr>
              <w:spacing w:line="5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楷体_GB2312" w:hAnsi="宋体" w:eastAsia="楷体_GB2312"/>
                <w:color w:val="auto"/>
                <w:sz w:val="24"/>
                <w:highlight w:val="none"/>
              </w:rPr>
            </w:pPr>
          </w:p>
        </w:tc>
        <w:tc>
          <w:tcPr>
            <w:tcW w:w="1948"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1313" w:type="dxa"/>
          </w:tcPr>
          <w:p>
            <w:pPr>
              <w:spacing w:line="400" w:lineRule="exact"/>
              <w:jc w:val="center"/>
              <w:rPr>
                <w:rFonts w:ascii="楷体_GB2312" w:hAnsi="宋体" w:eastAsia="楷体_GB2312"/>
                <w:color w:val="auto"/>
                <w:sz w:val="24"/>
                <w:highlight w:val="none"/>
              </w:rPr>
            </w:pPr>
          </w:p>
        </w:tc>
        <w:tc>
          <w:tcPr>
            <w:tcW w:w="713" w:type="dxa"/>
          </w:tcPr>
          <w:p>
            <w:pPr>
              <w:spacing w:line="400" w:lineRule="exact"/>
              <w:jc w:val="center"/>
              <w:rPr>
                <w:rFonts w:ascii="楷体_GB2312" w:hAnsi="宋体" w:eastAsia="楷体_GB2312"/>
                <w:color w:val="auto"/>
                <w:sz w:val="24"/>
                <w:highlight w:val="none"/>
              </w:rPr>
            </w:pPr>
          </w:p>
        </w:tc>
        <w:tc>
          <w:tcPr>
            <w:tcW w:w="1099" w:type="dxa"/>
          </w:tcPr>
          <w:p>
            <w:pPr>
              <w:spacing w:line="400" w:lineRule="exact"/>
              <w:jc w:val="center"/>
              <w:rPr>
                <w:rFonts w:ascii="楷体_GB2312" w:hAnsi="宋体" w:eastAsia="楷体_GB2312"/>
                <w:color w:val="auto"/>
                <w:sz w:val="24"/>
                <w:highlight w:val="none"/>
              </w:rPr>
            </w:pPr>
          </w:p>
        </w:tc>
        <w:tc>
          <w:tcPr>
            <w:tcW w:w="2542" w:type="dxa"/>
          </w:tcPr>
          <w:p>
            <w:pPr>
              <w:spacing w:line="4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楷体_GB2312" w:hAnsi="宋体" w:eastAsia="楷体_GB2312"/>
                <w:color w:val="auto"/>
                <w:sz w:val="24"/>
                <w:highlight w:val="none"/>
              </w:rPr>
            </w:pPr>
          </w:p>
        </w:tc>
        <w:tc>
          <w:tcPr>
            <w:tcW w:w="1948"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1313" w:type="dxa"/>
          </w:tcPr>
          <w:p>
            <w:pPr>
              <w:spacing w:line="400" w:lineRule="exact"/>
              <w:jc w:val="center"/>
              <w:rPr>
                <w:rFonts w:ascii="楷体_GB2312" w:hAnsi="宋体" w:eastAsia="楷体_GB2312"/>
                <w:color w:val="auto"/>
                <w:sz w:val="24"/>
                <w:highlight w:val="none"/>
              </w:rPr>
            </w:pPr>
          </w:p>
        </w:tc>
        <w:tc>
          <w:tcPr>
            <w:tcW w:w="713" w:type="dxa"/>
          </w:tcPr>
          <w:p>
            <w:pPr>
              <w:spacing w:line="400" w:lineRule="exact"/>
              <w:jc w:val="center"/>
              <w:rPr>
                <w:rFonts w:ascii="楷体_GB2312" w:hAnsi="宋体" w:eastAsia="楷体_GB2312"/>
                <w:color w:val="auto"/>
                <w:sz w:val="24"/>
                <w:highlight w:val="none"/>
              </w:rPr>
            </w:pPr>
          </w:p>
        </w:tc>
        <w:tc>
          <w:tcPr>
            <w:tcW w:w="1099" w:type="dxa"/>
          </w:tcPr>
          <w:p>
            <w:pPr>
              <w:spacing w:line="400" w:lineRule="exact"/>
              <w:jc w:val="center"/>
              <w:rPr>
                <w:rFonts w:ascii="楷体_GB2312" w:hAnsi="宋体" w:eastAsia="楷体_GB2312"/>
                <w:color w:val="auto"/>
                <w:sz w:val="24"/>
                <w:highlight w:val="none"/>
              </w:rPr>
            </w:pPr>
          </w:p>
        </w:tc>
        <w:tc>
          <w:tcPr>
            <w:tcW w:w="2542" w:type="dxa"/>
          </w:tcPr>
          <w:p>
            <w:pPr>
              <w:spacing w:line="4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楷体_GB2312" w:hAnsi="宋体" w:eastAsia="楷体_GB2312"/>
                <w:color w:val="auto"/>
                <w:sz w:val="24"/>
                <w:highlight w:val="none"/>
              </w:rPr>
            </w:pPr>
          </w:p>
        </w:tc>
        <w:tc>
          <w:tcPr>
            <w:tcW w:w="1948"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1313" w:type="dxa"/>
          </w:tcPr>
          <w:p>
            <w:pPr>
              <w:spacing w:line="400" w:lineRule="exact"/>
              <w:jc w:val="center"/>
              <w:rPr>
                <w:rFonts w:ascii="楷体_GB2312" w:hAnsi="宋体" w:eastAsia="楷体_GB2312"/>
                <w:color w:val="auto"/>
                <w:sz w:val="24"/>
                <w:highlight w:val="none"/>
              </w:rPr>
            </w:pPr>
          </w:p>
        </w:tc>
        <w:tc>
          <w:tcPr>
            <w:tcW w:w="713" w:type="dxa"/>
          </w:tcPr>
          <w:p>
            <w:pPr>
              <w:spacing w:line="400" w:lineRule="exact"/>
              <w:jc w:val="center"/>
              <w:rPr>
                <w:rFonts w:ascii="楷体_GB2312" w:hAnsi="宋体" w:eastAsia="楷体_GB2312"/>
                <w:color w:val="auto"/>
                <w:sz w:val="24"/>
                <w:highlight w:val="none"/>
              </w:rPr>
            </w:pPr>
          </w:p>
        </w:tc>
        <w:tc>
          <w:tcPr>
            <w:tcW w:w="1099" w:type="dxa"/>
          </w:tcPr>
          <w:p>
            <w:pPr>
              <w:spacing w:line="400" w:lineRule="exact"/>
              <w:jc w:val="center"/>
              <w:rPr>
                <w:rFonts w:ascii="楷体_GB2312" w:hAnsi="宋体" w:eastAsia="楷体_GB2312"/>
                <w:color w:val="auto"/>
                <w:sz w:val="24"/>
                <w:highlight w:val="none"/>
              </w:rPr>
            </w:pPr>
          </w:p>
        </w:tc>
        <w:tc>
          <w:tcPr>
            <w:tcW w:w="2542" w:type="dxa"/>
          </w:tcPr>
          <w:p>
            <w:pPr>
              <w:spacing w:line="4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3" w:type="dxa"/>
          </w:tcPr>
          <w:p>
            <w:pPr>
              <w:spacing w:line="400" w:lineRule="exact"/>
              <w:jc w:val="center"/>
              <w:rPr>
                <w:rFonts w:ascii="楷体_GB2312" w:hAnsi="宋体" w:eastAsia="楷体_GB2312"/>
                <w:color w:val="auto"/>
                <w:sz w:val="24"/>
                <w:highlight w:val="none"/>
              </w:rPr>
            </w:pPr>
          </w:p>
        </w:tc>
        <w:tc>
          <w:tcPr>
            <w:tcW w:w="1948"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1313" w:type="dxa"/>
          </w:tcPr>
          <w:p>
            <w:pPr>
              <w:spacing w:line="400" w:lineRule="exact"/>
              <w:jc w:val="center"/>
              <w:rPr>
                <w:rFonts w:ascii="楷体_GB2312" w:hAnsi="宋体" w:eastAsia="楷体_GB2312"/>
                <w:color w:val="auto"/>
                <w:sz w:val="24"/>
                <w:highlight w:val="none"/>
              </w:rPr>
            </w:pPr>
          </w:p>
        </w:tc>
        <w:tc>
          <w:tcPr>
            <w:tcW w:w="713" w:type="dxa"/>
          </w:tcPr>
          <w:p>
            <w:pPr>
              <w:spacing w:line="400" w:lineRule="exact"/>
              <w:jc w:val="center"/>
              <w:rPr>
                <w:rFonts w:ascii="楷体_GB2312" w:hAnsi="宋体" w:eastAsia="楷体_GB2312"/>
                <w:color w:val="auto"/>
                <w:sz w:val="24"/>
                <w:highlight w:val="none"/>
              </w:rPr>
            </w:pPr>
          </w:p>
        </w:tc>
        <w:tc>
          <w:tcPr>
            <w:tcW w:w="1099" w:type="dxa"/>
          </w:tcPr>
          <w:p>
            <w:pPr>
              <w:spacing w:line="400" w:lineRule="exact"/>
              <w:jc w:val="center"/>
              <w:rPr>
                <w:rFonts w:ascii="楷体_GB2312" w:hAnsi="宋体" w:eastAsia="楷体_GB2312"/>
                <w:color w:val="auto"/>
                <w:sz w:val="24"/>
                <w:highlight w:val="none"/>
              </w:rPr>
            </w:pPr>
          </w:p>
        </w:tc>
        <w:tc>
          <w:tcPr>
            <w:tcW w:w="2542" w:type="dxa"/>
          </w:tcPr>
          <w:p>
            <w:pPr>
              <w:spacing w:line="4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楷体_GB2312" w:hAnsi="宋体" w:eastAsia="楷体_GB2312"/>
                <w:color w:val="auto"/>
                <w:sz w:val="24"/>
                <w:highlight w:val="none"/>
              </w:rPr>
            </w:pPr>
          </w:p>
        </w:tc>
        <w:tc>
          <w:tcPr>
            <w:tcW w:w="1948"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616" w:type="dxa"/>
          </w:tcPr>
          <w:p>
            <w:pPr>
              <w:spacing w:line="400" w:lineRule="exact"/>
              <w:jc w:val="center"/>
              <w:rPr>
                <w:rFonts w:ascii="楷体_GB2312" w:hAnsi="宋体" w:eastAsia="楷体_GB2312"/>
                <w:color w:val="auto"/>
                <w:sz w:val="24"/>
                <w:highlight w:val="none"/>
              </w:rPr>
            </w:pPr>
          </w:p>
        </w:tc>
        <w:tc>
          <w:tcPr>
            <w:tcW w:w="1313" w:type="dxa"/>
          </w:tcPr>
          <w:p>
            <w:pPr>
              <w:spacing w:line="400" w:lineRule="exact"/>
              <w:jc w:val="center"/>
              <w:rPr>
                <w:rFonts w:ascii="楷体_GB2312" w:hAnsi="宋体" w:eastAsia="楷体_GB2312"/>
                <w:color w:val="auto"/>
                <w:sz w:val="24"/>
                <w:highlight w:val="none"/>
              </w:rPr>
            </w:pPr>
          </w:p>
        </w:tc>
        <w:tc>
          <w:tcPr>
            <w:tcW w:w="713" w:type="dxa"/>
          </w:tcPr>
          <w:p>
            <w:pPr>
              <w:spacing w:line="400" w:lineRule="exact"/>
              <w:jc w:val="center"/>
              <w:rPr>
                <w:rFonts w:ascii="楷体_GB2312" w:hAnsi="宋体" w:eastAsia="楷体_GB2312"/>
                <w:color w:val="auto"/>
                <w:sz w:val="24"/>
                <w:highlight w:val="none"/>
              </w:rPr>
            </w:pPr>
          </w:p>
        </w:tc>
        <w:tc>
          <w:tcPr>
            <w:tcW w:w="1099" w:type="dxa"/>
          </w:tcPr>
          <w:p>
            <w:pPr>
              <w:spacing w:line="400" w:lineRule="exact"/>
              <w:jc w:val="center"/>
              <w:rPr>
                <w:rFonts w:ascii="楷体_GB2312" w:hAnsi="宋体" w:eastAsia="楷体_GB2312"/>
                <w:color w:val="auto"/>
                <w:sz w:val="24"/>
                <w:highlight w:val="none"/>
              </w:rPr>
            </w:pPr>
          </w:p>
        </w:tc>
        <w:tc>
          <w:tcPr>
            <w:tcW w:w="2542" w:type="dxa"/>
          </w:tcPr>
          <w:p>
            <w:pPr>
              <w:spacing w:line="40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55" w:hRule="atLeast"/>
        </w:trPr>
        <w:tc>
          <w:tcPr>
            <w:tcW w:w="9850" w:type="dxa"/>
            <w:gridSpan w:val="8"/>
          </w:tcPr>
          <w:p>
            <w:pPr>
              <w:spacing w:line="520" w:lineRule="exact"/>
              <w:rPr>
                <w:rFonts w:ascii="宋体" w:hAnsi="宋体"/>
                <w:color w:val="auto"/>
                <w:sz w:val="24"/>
                <w:highlight w:val="none"/>
              </w:rPr>
            </w:pPr>
            <w:r>
              <w:rPr>
                <w:rFonts w:hint="eastAsia" w:ascii="宋体" w:hAnsi="宋体"/>
                <w:color w:val="auto"/>
                <w:sz w:val="24"/>
                <w:highlight w:val="none"/>
              </w:rPr>
              <w:t>说明：1、总监到位承诺：保证每月到位不低于</w:t>
            </w:r>
            <w:r>
              <w:rPr>
                <w:rFonts w:hint="eastAsia" w:ascii="宋体" w:hAnsi="宋体"/>
                <w:color w:val="auto"/>
                <w:sz w:val="24"/>
                <w:highlight w:val="none"/>
              </w:rPr>
              <w:t>18</w:t>
            </w:r>
            <w:r>
              <w:rPr>
                <w:rFonts w:hint="eastAsia" w:ascii="宋体" w:hAnsi="宋体"/>
                <w:color w:val="auto"/>
                <w:sz w:val="24"/>
                <w:highlight w:val="none"/>
              </w:rPr>
              <w:t>日。</w:t>
            </w:r>
          </w:p>
          <w:p>
            <w:pPr>
              <w:spacing w:line="520" w:lineRule="exact"/>
              <w:ind w:firstLine="720" w:firstLineChars="300"/>
              <w:rPr>
                <w:color w:val="auto"/>
                <w:highlight w:val="none"/>
              </w:rPr>
            </w:pPr>
            <w:r>
              <w:rPr>
                <w:rFonts w:hint="eastAsia" w:ascii="宋体" w:hAnsi="宋体"/>
                <w:color w:val="auto"/>
                <w:sz w:val="24"/>
                <w:highlight w:val="none"/>
              </w:rPr>
              <w:t>2、项目班子成员（</w:t>
            </w:r>
            <w:r>
              <w:rPr>
                <w:rFonts w:hint="eastAsia" w:ascii="宋体"/>
                <w:bCs/>
                <w:color w:val="auto"/>
                <w:sz w:val="24"/>
                <w:highlight w:val="none"/>
              </w:rPr>
              <w:t>总监代表、专监、监理员</w:t>
            </w:r>
            <w:r>
              <w:rPr>
                <w:rFonts w:hint="eastAsia" w:ascii="宋体" w:hAnsi="宋体"/>
                <w:color w:val="auto"/>
                <w:sz w:val="24"/>
                <w:highlight w:val="none"/>
              </w:rPr>
              <w:t>）到位承诺：保证每月到位不低于</w:t>
            </w:r>
            <w:r>
              <w:rPr>
                <w:rFonts w:hint="eastAsia" w:ascii="宋体" w:hAnsi="宋体"/>
                <w:color w:val="auto"/>
                <w:sz w:val="24"/>
                <w:highlight w:val="none"/>
              </w:rPr>
              <w:t>22</w:t>
            </w:r>
            <w:r>
              <w:rPr>
                <w:rFonts w:hint="eastAsia" w:ascii="宋体" w:hAnsi="宋体"/>
                <w:color w:val="auto"/>
                <w:sz w:val="24"/>
                <w:highlight w:val="none"/>
              </w:rPr>
              <w:t>日。</w:t>
            </w:r>
          </w:p>
        </w:tc>
      </w:tr>
    </w:tbl>
    <w:p>
      <w:pPr>
        <w:spacing w:line="360" w:lineRule="auto"/>
        <w:ind w:firstLine="3373" w:firstLineChars="1400"/>
        <w:rPr>
          <w:rFonts w:ascii="宋体"/>
          <w:b/>
          <w:color w:val="auto"/>
          <w:sz w:val="24"/>
          <w:highlight w:val="none"/>
        </w:rPr>
      </w:pPr>
    </w:p>
    <w:p>
      <w:pPr>
        <w:spacing w:line="360" w:lineRule="auto"/>
        <w:ind w:firstLine="3373" w:firstLineChars="1400"/>
        <w:rPr>
          <w:rFonts w:ascii="宋体"/>
          <w:b/>
          <w:color w:val="auto"/>
          <w:sz w:val="24"/>
          <w:highlight w:val="none"/>
        </w:rPr>
      </w:pPr>
      <w:r>
        <w:rPr>
          <w:rFonts w:hint="eastAsia" w:ascii="宋体"/>
          <w:b/>
          <w:color w:val="auto"/>
          <w:sz w:val="24"/>
          <w:highlight w:val="none"/>
        </w:rPr>
        <w:t>投标人：                    （盖单位章）</w:t>
      </w:r>
    </w:p>
    <w:p>
      <w:pPr>
        <w:spacing w:line="360" w:lineRule="auto"/>
        <w:rPr>
          <w:rFonts w:ascii="宋体"/>
          <w:b/>
          <w:color w:val="auto"/>
          <w:sz w:val="24"/>
          <w:highlight w:val="none"/>
        </w:rPr>
      </w:pPr>
      <w:r>
        <w:rPr>
          <w:rFonts w:hint="eastAsia" w:ascii="宋体"/>
          <w:b/>
          <w:color w:val="auto"/>
          <w:sz w:val="24"/>
          <w:highlight w:val="none"/>
        </w:rPr>
        <w:t xml:space="preserve">                       法定代表人（或其委托代理人）：     （签字或盖章）</w:t>
      </w:r>
    </w:p>
    <w:p>
      <w:pPr>
        <w:spacing w:line="520" w:lineRule="exact"/>
        <w:ind w:firstLine="495"/>
        <w:rPr>
          <w:rFonts w:ascii="宋体" w:hAnsi="宋体"/>
          <w:color w:val="auto"/>
          <w:sz w:val="24"/>
          <w:highlight w:val="none"/>
        </w:rPr>
      </w:pPr>
      <w:r>
        <w:rPr>
          <w:rFonts w:hint="eastAsia" w:ascii="宋体"/>
          <w:b/>
          <w:color w:val="auto"/>
          <w:sz w:val="24"/>
          <w:highlight w:val="none"/>
        </w:rPr>
        <w:t xml:space="preserve">                                         年   月    日</w:t>
      </w:r>
    </w:p>
    <w:p>
      <w:pPr>
        <w:spacing w:line="520" w:lineRule="exact"/>
        <w:rPr>
          <w:rFonts w:ascii="宋体" w:hAnsi="宋体"/>
          <w:color w:val="auto"/>
          <w:sz w:val="24"/>
          <w:highlight w:val="none"/>
        </w:rPr>
      </w:pPr>
      <w:r>
        <w:rPr>
          <w:rFonts w:hint="eastAsia" w:ascii="宋体" w:hAnsi="宋体"/>
          <w:color w:val="auto"/>
          <w:sz w:val="24"/>
          <w:highlight w:val="none"/>
        </w:rPr>
        <w:t>注：1、列入本表中人员如要更换，需经委托人单位同意。擅自更换或不到位属违约行为。</w:t>
      </w:r>
    </w:p>
    <w:p>
      <w:pPr>
        <w:spacing w:line="520" w:lineRule="exact"/>
        <w:ind w:firstLine="495"/>
        <w:rPr>
          <w:rFonts w:ascii="宋体" w:hAnsi="宋体"/>
          <w:color w:val="auto"/>
          <w:sz w:val="24"/>
          <w:highlight w:val="none"/>
        </w:rPr>
      </w:pPr>
      <w:r>
        <w:rPr>
          <w:rFonts w:hint="eastAsia" w:ascii="宋体" w:hAnsi="宋体"/>
          <w:color w:val="auto"/>
          <w:sz w:val="24"/>
          <w:highlight w:val="none"/>
        </w:rPr>
        <w:t>2、根据本工程施工特点，需合理配备各专业监理人员。</w:t>
      </w:r>
    </w:p>
    <w:p>
      <w:pPr>
        <w:spacing w:line="520" w:lineRule="exact"/>
        <w:ind w:firstLine="495"/>
        <w:rPr>
          <w:rFonts w:ascii="宋体"/>
          <w:bCs/>
          <w:color w:val="auto"/>
          <w:sz w:val="24"/>
          <w:highlight w:val="none"/>
        </w:rPr>
      </w:pPr>
      <w:r>
        <w:rPr>
          <w:rFonts w:hint="eastAsia" w:ascii="宋体" w:hAnsi="宋体"/>
          <w:color w:val="auto"/>
          <w:sz w:val="24"/>
          <w:highlight w:val="none"/>
        </w:rPr>
        <w:t>3、</w:t>
      </w:r>
      <w:r>
        <w:rPr>
          <w:rFonts w:hint="eastAsia" w:ascii="宋体"/>
          <w:bCs/>
          <w:color w:val="auto"/>
          <w:sz w:val="24"/>
          <w:highlight w:val="none"/>
        </w:rPr>
        <w:t>需附以上人员在</w:t>
      </w:r>
      <w:r>
        <w:rPr>
          <w:rFonts w:ascii="宋体"/>
          <w:bCs/>
          <w:color w:val="auto"/>
          <w:sz w:val="24"/>
          <w:highlight w:val="none"/>
        </w:rPr>
        <w:t>本单位</w:t>
      </w:r>
      <w:r>
        <w:rPr>
          <w:rFonts w:hint="eastAsia" w:ascii="宋体"/>
          <w:bCs/>
          <w:color w:val="auto"/>
          <w:sz w:val="24"/>
          <w:highlight w:val="none"/>
        </w:rPr>
        <w:t>近三个月（</w:t>
      </w:r>
      <w:r>
        <w:rPr>
          <w:rFonts w:hint="eastAsia" w:ascii="宋体"/>
          <w:bCs/>
          <w:color w:val="auto"/>
          <w:sz w:val="24"/>
          <w:highlight w:val="none"/>
          <w:lang w:eastAsia="zh-CN"/>
        </w:rPr>
        <w:t>2021年1月-3月</w:t>
      </w:r>
      <w:r>
        <w:rPr>
          <w:rFonts w:hint="eastAsia" w:ascii="宋体"/>
          <w:bCs/>
          <w:color w:val="auto"/>
          <w:sz w:val="24"/>
          <w:highlight w:val="none"/>
        </w:rPr>
        <w:t>）养老保险缴纳清单或个人缴纳对账单</w:t>
      </w:r>
      <w:r>
        <w:rPr>
          <w:rFonts w:hint="eastAsia" w:ascii="宋体"/>
          <w:bCs/>
          <w:color w:val="auto"/>
          <w:sz w:val="24"/>
          <w:highlight w:val="none"/>
        </w:rPr>
        <w:t>。</w:t>
      </w:r>
    </w:p>
    <w:p>
      <w:pPr>
        <w:spacing w:line="440" w:lineRule="exact"/>
        <w:rPr>
          <w:rFonts w:ascii="宋体"/>
          <w:bCs/>
          <w:color w:val="auto"/>
          <w:sz w:val="24"/>
          <w:highlight w:val="none"/>
        </w:rPr>
      </w:pPr>
    </w:p>
    <w:p>
      <w:pPr>
        <w:spacing w:line="440" w:lineRule="exact"/>
        <w:rPr>
          <w:rFonts w:ascii="宋体"/>
          <w:b/>
          <w:color w:val="auto"/>
          <w:sz w:val="24"/>
          <w:highlight w:val="none"/>
        </w:rPr>
      </w:pPr>
    </w:p>
    <w:p>
      <w:pPr>
        <w:spacing w:line="440" w:lineRule="exact"/>
        <w:rPr>
          <w:rFonts w:ascii="宋体"/>
          <w:b/>
          <w:color w:val="auto"/>
          <w:sz w:val="24"/>
          <w:highlight w:val="none"/>
        </w:rPr>
      </w:pPr>
    </w:p>
    <w:p>
      <w:pPr>
        <w:spacing w:line="440" w:lineRule="exact"/>
        <w:rPr>
          <w:rFonts w:ascii="宋体"/>
          <w:b/>
          <w:color w:val="auto"/>
          <w:sz w:val="24"/>
          <w:highlight w:val="none"/>
        </w:rPr>
      </w:pPr>
    </w:p>
    <w:p>
      <w:pPr>
        <w:spacing w:line="440" w:lineRule="exact"/>
        <w:rPr>
          <w:rFonts w:ascii="宋体"/>
          <w:b/>
          <w:color w:val="auto"/>
          <w:sz w:val="24"/>
          <w:highlight w:val="none"/>
        </w:rPr>
      </w:pPr>
      <w:r>
        <w:rPr>
          <w:rFonts w:hint="eastAsia" w:ascii="宋体"/>
          <w:b/>
          <w:color w:val="auto"/>
          <w:sz w:val="24"/>
          <w:highlight w:val="none"/>
        </w:rPr>
        <w:t>表4</w:t>
      </w:r>
    </w:p>
    <w:p>
      <w:pPr>
        <w:spacing w:line="360" w:lineRule="auto"/>
        <w:jc w:val="center"/>
        <w:rPr>
          <w:rFonts w:ascii="宋体"/>
          <w:b/>
          <w:bCs/>
          <w:color w:val="auto"/>
          <w:sz w:val="32"/>
          <w:highlight w:val="none"/>
        </w:rPr>
      </w:pPr>
      <w:r>
        <w:rPr>
          <w:rFonts w:hint="eastAsia" w:ascii="黑体" w:eastAsia="黑体"/>
          <w:b/>
          <w:color w:val="auto"/>
          <w:sz w:val="32"/>
          <w:highlight w:val="none"/>
        </w:rPr>
        <w:t>投标人基本情况表</w:t>
      </w:r>
    </w:p>
    <w:tbl>
      <w:tblPr>
        <w:tblStyle w:val="18"/>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693"/>
        <w:gridCol w:w="1000"/>
        <w:gridCol w:w="835"/>
        <w:gridCol w:w="847"/>
        <w:gridCol w:w="835"/>
        <w:gridCol w:w="847"/>
        <w:gridCol w:w="835"/>
        <w:gridCol w:w="722"/>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6"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企业名称</w:t>
            </w:r>
          </w:p>
        </w:tc>
        <w:tc>
          <w:tcPr>
            <w:tcW w:w="4210" w:type="dxa"/>
            <w:gridSpan w:val="5"/>
            <w:vAlign w:val="center"/>
          </w:tcPr>
          <w:p>
            <w:pPr>
              <w:spacing w:line="440" w:lineRule="exact"/>
              <w:jc w:val="center"/>
              <w:rPr>
                <w:rFonts w:ascii="宋体"/>
                <w:bCs/>
                <w:color w:val="auto"/>
                <w:sz w:val="24"/>
                <w:highlight w:val="none"/>
              </w:rPr>
            </w:pPr>
          </w:p>
        </w:tc>
        <w:tc>
          <w:tcPr>
            <w:tcW w:w="1682" w:type="dxa"/>
            <w:gridSpan w:val="2"/>
            <w:vAlign w:val="center"/>
          </w:tcPr>
          <w:p>
            <w:pPr>
              <w:spacing w:line="440" w:lineRule="exact"/>
              <w:jc w:val="center"/>
              <w:rPr>
                <w:rFonts w:ascii="宋体"/>
                <w:bCs/>
                <w:color w:val="auto"/>
                <w:sz w:val="24"/>
                <w:highlight w:val="none"/>
              </w:rPr>
            </w:pPr>
            <w:r>
              <w:rPr>
                <w:rFonts w:hint="eastAsia" w:ascii="宋体"/>
                <w:bCs/>
                <w:color w:val="auto"/>
                <w:sz w:val="24"/>
                <w:highlight w:val="none"/>
              </w:rPr>
              <w:t>成立时间</w:t>
            </w:r>
          </w:p>
        </w:tc>
        <w:tc>
          <w:tcPr>
            <w:tcW w:w="1682" w:type="dxa"/>
            <w:gridSpan w:val="2"/>
            <w:vAlign w:val="center"/>
          </w:tcPr>
          <w:p>
            <w:pPr>
              <w:spacing w:line="440" w:lineRule="exact"/>
              <w:jc w:val="center"/>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6"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法定代表人</w:t>
            </w:r>
          </w:p>
        </w:tc>
        <w:tc>
          <w:tcPr>
            <w:tcW w:w="693" w:type="dxa"/>
            <w:vAlign w:val="center"/>
          </w:tcPr>
          <w:p>
            <w:pPr>
              <w:spacing w:line="440" w:lineRule="exact"/>
              <w:jc w:val="center"/>
              <w:rPr>
                <w:rFonts w:ascii="宋体"/>
                <w:bCs/>
                <w:color w:val="auto"/>
                <w:sz w:val="24"/>
                <w:highlight w:val="none"/>
              </w:rPr>
            </w:pPr>
          </w:p>
        </w:tc>
        <w:tc>
          <w:tcPr>
            <w:tcW w:w="1000"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姓名</w:t>
            </w:r>
          </w:p>
        </w:tc>
        <w:tc>
          <w:tcPr>
            <w:tcW w:w="835" w:type="dxa"/>
            <w:vAlign w:val="center"/>
          </w:tcPr>
          <w:p>
            <w:pPr>
              <w:spacing w:line="440" w:lineRule="exact"/>
              <w:jc w:val="center"/>
              <w:rPr>
                <w:rFonts w:ascii="宋体"/>
                <w:bCs/>
                <w:color w:val="auto"/>
                <w:sz w:val="24"/>
                <w:highlight w:val="none"/>
              </w:rPr>
            </w:pPr>
          </w:p>
        </w:tc>
        <w:tc>
          <w:tcPr>
            <w:tcW w:w="847"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职务</w:t>
            </w:r>
          </w:p>
        </w:tc>
        <w:tc>
          <w:tcPr>
            <w:tcW w:w="835" w:type="dxa"/>
            <w:vAlign w:val="center"/>
          </w:tcPr>
          <w:p>
            <w:pPr>
              <w:spacing w:line="440" w:lineRule="exact"/>
              <w:jc w:val="center"/>
              <w:rPr>
                <w:rFonts w:ascii="宋体"/>
                <w:bCs/>
                <w:color w:val="auto"/>
                <w:sz w:val="24"/>
                <w:highlight w:val="none"/>
              </w:rPr>
            </w:pPr>
          </w:p>
        </w:tc>
        <w:tc>
          <w:tcPr>
            <w:tcW w:w="847"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职称</w:t>
            </w:r>
          </w:p>
        </w:tc>
        <w:tc>
          <w:tcPr>
            <w:tcW w:w="835" w:type="dxa"/>
            <w:vAlign w:val="center"/>
          </w:tcPr>
          <w:p>
            <w:pPr>
              <w:spacing w:line="440" w:lineRule="exact"/>
              <w:jc w:val="center"/>
              <w:rPr>
                <w:rFonts w:ascii="宋体"/>
                <w:bCs/>
                <w:color w:val="auto"/>
                <w:sz w:val="24"/>
                <w:highlight w:val="none"/>
              </w:rPr>
            </w:pPr>
          </w:p>
        </w:tc>
        <w:tc>
          <w:tcPr>
            <w:tcW w:w="722"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联系电话</w:t>
            </w:r>
          </w:p>
        </w:tc>
        <w:tc>
          <w:tcPr>
            <w:tcW w:w="960" w:type="dxa"/>
          </w:tcPr>
          <w:p>
            <w:pPr>
              <w:spacing w:line="440" w:lineRule="exact"/>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6"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企业负责人</w:t>
            </w:r>
          </w:p>
        </w:tc>
        <w:tc>
          <w:tcPr>
            <w:tcW w:w="693" w:type="dxa"/>
            <w:vAlign w:val="center"/>
          </w:tcPr>
          <w:p>
            <w:pPr>
              <w:spacing w:line="440" w:lineRule="exact"/>
              <w:jc w:val="center"/>
              <w:rPr>
                <w:rFonts w:ascii="宋体"/>
                <w:bCs/>
                <w:color w:val="auto"/>
                <w:sz w:val="24"/>
                <w:highlight w:val="none"/>
              </w:rPr>
            </w:pPr>
          </w:p>
        </w:tc>
        <w:tc>
          <w:tcPr>
            <w:tcW w:w="1000"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姓名</w:t>
            </w:r>
          </w:p>
        </w:tc>
        <w:tc>
          <w:tcPr>
            <w:tcW w:w="835" w:type="dxa"/>
            <w:vAlign w:val="center"/>
          </w:tcPr>
          <w:p>
            <w:pPr>
              <w:spacing w:line="440" w:lineRule="exact"/>
              <w:jc w:val="center"/>
              <w:rPr>
                <w:rFonts w:ascii="宋体"/>
                <w:bCs/>
                <w:color w:val="auto"/>
                <w:sz w:val="24"/>
                <w:highlight w:val="none"/>
              </w:rPr>
            </w:pPr>
          </w:p>
        </w:tc>
        <w:tc>
          <w:tcPr>
            <w:tcW w:w="847"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职务</w:t>
            </w:r>
          </w:p>
        </w:tc>
        <w:tc>
          <w:tcPr>
            <w:tcW w:w="835" w:type="dxa"/>
            <w:vAlign w:val="center"/>
          </w:tcPr>
          <w:p>
            <w:pPr>
              <w:spacing w:line="440" w:lineRule="exact"/>
              <w:jc w:val="center"/>
              <w:rPr>
                <w:rFonts w:ascii="宋体"/>
                <w:bCs/>
                <w:color w:val="auto"/>
                <w:sz w:val="24"/>
                <w:highlight w:val="none"/>
              </w:rPr>
            </w:pPr>
          </w:p>
        </w:tc>
        <w:tc>
          <w:tcPr>
            <w:tcW w:w="847"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职称</w:t>
            </w:r>
          </w:p>
        </w:tc>
        <w:tc>
          <w:tcPr>
            <w:tcW w:w="835" w:type="dxa"/>
            <w:vAlign w:val="center"/>
          </w:tcPr>
          <w:p>
            <w:pPr>
              <w:spacing w:line="440" w:lineRule="exact"/>
              <w:jc w:val="center"/>
              <w:rPr>
                <w:rFonts w:ascii="宋体"/>
                <w:bCs/>
                <w:color w:val="auto"/>
                <w:sz w:val="24"/>
                <w:highlight w:val="none"/>
              </w:rPr>
            </w:pPr>
          </w:p>
        </w:tc>
        <w:tc>
          <w:tcPr>
            <w:tcW w:w="722"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联系电话</w:t>
            </w:r>
          </w:p>
        </w:tc>
        <w:tc>
          <w:tcPr>
            <w:tcW w:w="960" w:type="dxa"/>
          </w:tcPr>
          <w:p>
            <w:pPr>
              <w:spacing w:line="440" w:lineRule="exact"/>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56"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技术负责人</w:t>
            </w:r>
          </w:p>
        </w:tc>
        <w:tc>
          <w:tcPr>
            <w:tcW w:w="693" w:type="dxa"/>
            <w:vAlign w:val="center"/>
          </w:tcPr>
          <w:p>
            <w:pPr>
              <w:spacing w:line="440" w:lineRule="exact"/>
              <w:jc w:val="center"/>
              <w:rPr>
                <w:rFonts w:ascii="宋体"/>
                <w:bCs/>
                <w:color w:val="auto"/>
                <w:sz w:val="24"/>
                <w:highlight w:val="none"/>
              </w:rPr>
            </w:pPr>
          </w:p>
        </w:tc>
        <w:tc>
          <w:tcPr>
            <w:tcW w:w="1000"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姓名</w:t>
            </w:r>
          </w:p>
        </w:tc>
        <w:tc>
          <w:tcPr>
            <w:tcW w:w="835" w:type="dxa"/>
            <w:vAlign w:val="center"/>
          </w:tcPr>
          <w:p>
            <w:pPr>
              <w:spacing w:line="440" w:lineRule="exact"/>
              <w:jc w:val="center"/>
              <w:rPr>
                <w:rFonts w:ascii="宋体"/>
                <w:bCs/>
                <w:color w:val="auto"/>
                <w:sz w:val="24"/>
                <w:highlight w:val="none"/>
              </w:rPr>
            </w:pPr>
          </w:p>
        </w:tc>
        <w:tc>
          <w:tcPr>
            <w:tcW w:w="847"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职务</w:t>
            </w:r>
          </w:p>
        </w:tc>
        <w:tc>
          <w:tcPr>
            <w:tcW w:w="835" w:type="dxa"/>
            <w:vAlign w:val="center"/>
          </w:tcPr>
          <w:p>
            <w:pPr>
              <w:spacing w:line="440" w:lineRule="exact"/>
              <w:jc w:val="center"/>
              <w:rPr>
                <w:rFonts w:ascii="宋体"/>
                <w:bCs/>
                <w:color w:val="auto"/>
                <w:sz w:val="24"/>
                <w:highlight w:val="none"/>
              </w:rPr>
            </w:pPr>
          </w:p>
        </w:tc>
        <w:tc>
          <w:tcPr>
            <w:tcW w:w="847"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职称</w:t>
            </w:r>
          </w:p>
        </w:tc>
        <w:tc>
          <w:tcPr>
            <w:tcW w:w="835" w:type="dxa"/>
            <w:vAlign w:val="center"/>
          </w:tcPr>
          <w:p>
            <w:pPr>
              <w:spacing w:line="440" w:lineRule="exact"/>
              <w:jc w:val="center"/>
              <w:rPr>
                <w:rFonts w:ascii="宋体"/>
                <w:bCs/>
                <w:color w:val="auto"/>
                <w:sz w:val="24"/>
                <w:highlight w:val="none"/>
              </w:rPr>
            </w:pPr>
          </w:p>
        </w:tc>
        <w:tc>
          <w:tcPr>
            <w:tcW w:w="722" w:type="dxa"/>
            <w:vAlign w:val="center"/>
          </w:tcPr>
          <w:p>
            <w:pPr>
              <w:spacing w:line="440" w:lineRule="exact"/>
              <w:jc w:val="center"/>
              <w:rPr>
                <w:rFonts w:ascii="宋体"/>
                <w:bCs/>
                <w:color w:val="auto"/>
                <w:sz w:val="24"/>
                <w:highlight w:val="none"/>
              </w:rPr>
            </w:pPr>
            <w:r>
              <w:rPr>
                <w:rFonts w:hint="eastAsia" w:ascii="宋体"/>
                <w:bCs/>
                <w:color w:val="auto"/>
                <w:sz w:val="24"/>
                <w:highlight w:val="none"/>
              </w:rPr>
              <w:t>联系电话</w:t>
            </w:r>
          </w:p>
        </w:tc>
        <w:tc>
          <w:tcPr>
            <w:tcW w:w="960" w:type="dxa"/>
          </w:tcPr>
          <w:p>
            <w:pPr>
              <w:spacing w:line="440" w:lineRule="exact"/>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6" w:type="dxa"/>
          </w:tcPr>
          <w:p>
            <w:pPr>
              <w:spacing w:line="440" w:lineRule="exact"/>
              <w:rPr>
                <w:rFonts w:ascii="宋体"/>
                <w:bCs/>
                <w:color w:val="auto"/>
                <w:sz w:val="24"/>
                <w:highlight w:val="none"/>
              </w:rPr>
            </w:pPr>
            <w:r>
              <w:rPr>
                <w:rFonts w:hint="eastAsia" w:ascii="宋体"/>
                <w:bCs/>
                <w:color w:val="auto"/>
                <w:sz w:val="24"/>
                <w:highlight w:val="none"/>
              </w:rPr>
              <w:t>法人营业执照</w:t>
            </w:r>
          </w:p>
        </w:tc>
        <w:tc>
          <w:tcPr>
            <w:tcW w:w="2528" w:type="dxa"/>
            <w:gridSpan w:val="3"/>
          </w:tcPr>
          <w:p>
            <w:pPr>
              <w:pStyle w:val="12"/>
              <w:spacing w:line="440" w:lineRule="exact"/>
              <w:ind w:left="5250"/>
              <w:rPr>
                <w:bCs/>
                <w:color w:val="auto"/>
                <w:highlight w:val="none"/>
              </w:rPr>
            </w:pPr>
          </w:p>
        </w:tc>
        <w:tc>
          <w:tcPr>
            <w:tcW w:w="2529" w:type="dxa"/>
            <w:gridSpan w:val="3"/>
          </w:tcPr>
          <w:p>
            <w:pPr>
              <w:spacing w:line="440" w:lineRule="exact"/>
              <w:rPr>
                <w:rFonts w:ascii="宋体"/>
                <w:bCs/>
                <w:color w:val="auto"/>
                <w:sz w:val="24"/>
                <w:highlight w:val="none"/>
              </w:rPr>
            </w:pPr>
            <w:r>
              <w:rPr>
                <w:rFonts w:hint="eastAsia" w:ascii="宋体"/>
                <w:bCs/>
                <w:color w:val="auto"/>
                <w:sz w:val="24"/>
                <w:highlight w:val="none"/>
              </w:rPr>
              <w:t>企业资格等级</w:t>
            </w:r>
          </w:p>
        </w:tc>
        <w:tc>
          <w:tcPr>
            <w:tcW w:w="2517" w:type="dxa"/>
            <w:gridSpan w:val="3"/>
          </w:tcPr>
          <w:p>
            <w:pPr>
              <w:spacing w:line="440" w:lineRule="exact"/>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6" w:type="dxa"/>
          </w:tcPr>
          <w:p>
            <w:pPr>
              <w:spacing w:line="440" w:lineRule="exact"/>
              <w:rPr>
                <w:rFonts w:ascii="宋体"/>
                <w:bCs/>
                <w:color w:val="auto"/>
                <w:sz w:val="24"/>
                <w:highlight w:val="none"/>
              </w:rPr>
            </w:pPr>
            <w:r>
              <w:rPr>
                <w:rFonts w:hint="eastAsia" w:ascii="宋体"/>
                <w:bCs/>
                <w:color w:val="auto"/>
                <w:sz w:val="24"/>
                <w:highlight w:val="none"/>
              </w:rPr>
              <w:t>质量体系认证</w:t>
            </w:r>
          </w:p>
        </w:tc>
        <w:tc>
          <w:tcPr>
            <w:tcW w:w="2528" w:type="dxa"/>
            <w:gridSpan w:val="3"/>
          </w:tcPr>
          <w:p>
            <w:pPr>
              <w:spacing w:line="440" w:lineRule="exact"/>
              <w:rPr>
                <w:rFonts w:ascii="宋体"/>
                <w:bCs/>
                <w:color w:val="auto"/>
                <w:sz w:val="24"/>
                <w:highlight w:val="none"/>
              </w:rPr>
            </w:pPr>
          </w:p>
        </w:tc>
        <w:tc>
          <w:tcPr>
            <w:tcW w:w="2529" w:type="dxa"/>
            <w:gridSpan w:val="3"/>
          </w:tcPr>
          <w:p>
            <w:pPr>
              <w:spacing w:line="440" w:lineRule="exact"/>
              <w:rPr>
                <w:rFonts w:ascii="宋体"/>
                <w:bCs/>
                <w:color w:val="auto"/>
                <w:sz w:val="24"/>
                <w:highlight w:val="none"/>
              </w:rPr>
            </w:pPr>
            <w:r>
              <w:rPr>
                <w:rFonts w:hint="eastAsia" w:ascii="宋体"/>
                <w:bCs/>
                <w:color w:val="auto"/>
                <w:sz w:val="24"/>
                <w:highlight w:val="none"/>
              </w:rPr>
              <w:t>银行信用等级</w:t>
            </w:r>
          </w:p>
        </w:tc>
        <w:tc>
          <w:tcPr>
            <w:tcW w:w="2517" w:type="dxa"/>
            <w:gridSpan w:val="3"/>
          </w:tcPr>
          <w:p>
            <w:pPr>
              <w:spacing w:line="440" w:lineRule="exact"/>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6" w:type="dxa"/>
          </w:tcPr>
          <w:p>
            <w:pPr>
              <w:spacing w:line="440" w:lineRule="exact"/>
              <w:rPr>
                <w:rFonts w:ascii="宋体"/>
                <w:bCs/>
                <w:color w:val="auto"/>
                <w:sz w:val="24"/>
                <w:highlight w:val="none"/>
              </w:rPr>
            </w:pPr>
            <w:r>
              <w:rPr>
                <w:rFonts w:hint="eastAsia" w:ascii="宋体"/>
                <w:bCs/>
                <w:color w:val="auto"/>
                <w:sz w:val="24"/>
                <w:highlight w:val="none"/>
              </w:rPr>
              <w:t>固定资产净值</w:t>
            </w:r>
          </w:p>
        </w:tc>
        <w:tc>
          <w:tcPr>
            <w:tcW w:w="2528" w:type="dxa"/>
            <w:gridSpan w:val="3"/>
          </w:tcPr>
          <w:p>
            <w:pPr>
              <w:spacing w:line="440" w:lineRule="exact"/>
              <w:rPr>
                <w:rFonts w:ascii="宋体"/>
                <w:bCs/>
                <w:color w:val="auto"/>
                <w:sz w:val="24"/>
                <w:highlight w:val="none"/>
              </w:rPr>
            </w:pPr>
            <w:r>
              <w:rPr>
                <w:rFonts w:hint="eastAsia" w:ascii="宋体"/>
                <w:bCs/>
                <w:color w:val="auto"/>
                <w:sz w:val="24"/>
                <w:highlight w:val="none"/>
              </w:rPr>
              <w:t xml:space="preserve">             万元</w:t>
            </w:r>
          </w:p>
        </w:tc>
        <w:tc>
          <w:tcPr>
            <w:tcW w:w="2529" w:type="dxa"/>
            <w:gridSpan w:val="3"/>
          </w:tcPr>
          <w:p>
            <w:pPr>
              <w:spacing w:line="440" w:lineRule="exact"/>
              <w:rPr>
                <w:rFonts w:ascii="宋体"/>
                <w:bCs/>
                <w:color w:val="auto"/>
                <w:sz w:val="24"/>
                <w:highlight w:val="none"/>
              </w:rPr>
            </w:pPr>
            <w:r>
              <w:rPr>
                <w:rFonts w:hint="eastAsia" w:ascii="宋体"/>
                <w:bCs/>
                <w:color w:val="auto"/>
                <w:sz w:val="24"/>
                <w:highlight w:val="none"/>
              </w:rPr>
              <w:t>流动资产：      万元</w:t>
            </w:r>
          </w:p>
        </w:tc>
        <w:tc>
          <w:tcPr>
            <w:tcW w:w="2517" w:type="dxa"/>
            <w:gridSpan w:val="3"/>
          </w:tcPr>
          <w:p>
            <w:pPr>
              <w:spacing w:line="440" w:lineRule="exact"/>
              <w:rPr>
                <w:rFonts w:ascii="宋体"/>
                <w:bCs/>
                <w:color w:val="auto"/>
                <w:sz w:val="24"/>
                <w:highlight w:val="none"/>
              </w:rPr>
            </w:pPr>
            <w:r>
              <w:rPr>
                <w:rFonts w:hint="eastAsia" w:ascii="宋体"/>
                <w:bCs/>
                <w:color w:val="auto"/>
                <w:sz w:val="24"/>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230" w:type="dxa"/>
            <w:gridSpan w:val="10"/>
          </w:tcPr>
          <w:p>
            <w:pPr>
              <w:spacing w:line="440" w:lineRule="exact"/>
              <w:rPr>
                <w:rFonts w:ascii="宋体"/>
                <w:bCs/>
                <w:color w:val="auto"/>
                <w:sz w:val="24"/>
                <w:highlight w:val="none"/>
              </w:rPr>
            </w:pPr>
            <w:r>
              <w:rPr>
                <w:rFonts w:hint="eastAsia" w:ascii="宋体"/>
                <w:bCs/>
                <w:color w:val="auto"/>
                <w:sz w:val="24"/>
                <w:highlight w:val="none"/>
              </w:rPr>
              <w:t>总人数    人，其中：国家注册  人，省注册   人，监理员    人</w:t>
            </w:r>
          </w:p>
          <w:p>
            <w:pPr>
              <w:spacing w:line="440" w:lineRule="exact"/>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4" w:hRule="atLeast"/>
          <w:jc w:val="center"/>
        </w:trPr>
        <w:tc>
          <w:tcPr>
            <w:tcW w:w="9230" w:type="dxa"/>
            <w:gridSpan w:val="10"/>
          </w:tcPr>
          <w:p>
            <w:pPr>
              <w:spacing w:line="440" w:lineRule="exact"/>
              <w:rPr>
                <w:rFonts w:ascii="宋体"/>
                <w:bCs/>
                <w:color w:val="auto"/>
                <w:sz w:val="24"/>
                <w:highlight w:val="none"/>
              </w:rPr>
            </w:pPr>
            <w:r>
              <w:rPr>
                <w:rFonts w:hint="eastAsia" w:ascii="宋体"/>
                <w:bCs/>
                <w:color w:val="auto"/>
                <w:sz w:val="24"/>
                <w:highlight w:val="none"/>
              </w:rPr>
              <w:t>企业简介：</w:t>
            </w:r>
          </w:p>
          <w:p>
            <w:pPr>
              <w:spacing w:line="440" w:lineRule="exact"/>
              <w:rPr>
                <w:rFonts w:ascii="宋体"/>
                <w:bCs/>
                <w:color w:val="auto"/>
                <w:sz w:val="24"/>
                <w:highlight w:val="none"/>
              </w:rPr>
            </w:pPr>
          </w:p>
          <w:p>
            <w:pPr>
              <w:spacing w:line="440" w:lineRule="exact"/>
              <w:rPr>
                <w:rFonts w:ascii="宋体"/>
                <w:bCs/>
                <w:color w:val="auto"/>
                <w:sz w:val="24"/>
                <w:highlight w:val="none"/>
              </w:rPr>
            </w:pPr>
          </w:p>
          <w:p>
            <w:pPr>
              <w:spacing w:line="440" w:lineRule="exact"/>
              <w:rPr>
                <w:rFonts w:ascii="宋体"/>
                <w:bCs/>
                <w:color w:val="auto"/>
                <w:sz w:val="24"/>
                <w:highlight w:val="none"/>
              </w:rPr>
            </w:pPr>
          </w:p>
          <w:p>
            <w:pPr>
              <w:spacing w:line="440" w:lineRule="exact"/>
              <w:rPr>
                <w:rFonts w:ascii="宋体"/>
                <w:bCs/>
                <w:color w:val="auto"/>
                <w:sz w:val="24"/>
                <w:highlight w:val="none"/>
              </w:rPr>
            </w:pPr>
          </w:p>
          <w:p>
            <w:pPr>
              <w:spacing w:line="440" w:lineRule="exact"/>
              <w:rPr>
                <w:rFonts w:ascii="宋体"/>
                <w:bCs/>
                <w:color w:val="auto"/>
                <w:sz w:val="24"/>
                <w:highlight w:val="none"/>
              </w:rPr>
            </w:pPr>
          </w:p>
          <w:p>
            <w:pPr>
              <w:spacing w:line="440" w:lineRule="exact"/>
              <w:rPr>
                <w:rFonts w:ascii="宋体"/>
                <w:bCs/>
                <w:color w:val="auto"/>
                <w:sz w:val="24"/>
                <w:highlight w:val="none"/>
              </w:rPr>
            </w:pPr>
          </w:p>
          <w:p>
            <w:pPr>
              <w:spacing w:line="440" w:lineRule="exact"/>
              <w:rPr>
                <w:rFonts w:ascii="宋体"/>
                <w:bCs/>
                <w:color w:val="auto"/>
                <w:sz w:val="24"/>
                <w:highlight w:val="none"/>
              </w:rPr>
            </w:pPr>
          </w:p>
          <w:p>
            <w:pPr>
              <w:spacing w:line="440" w:lineRule="exact"/>
              <w:rPr>
                <w:rFonts w:ascii="宋体"/>
                <w:bCs/>
                <w:color w:val="auto"/>
                <w:sz w:val="24"/>
                <w:highlight w:val="none"/>
              </w:rPr>
            </w:pPr>
          </w:p>
        </w:tc>
      </w:tr>
    </w:tbl>
    <w:p>
      <w:pPr>
        <w:spacing w:line="360" w:lineRule="auto"/>
        <w:ind w:firstLine="3373" w:firstLineChars="1400"/>
        <w:rPr>
          <w:rFonts w:ascii="宋体"/>
          <w:b/>
          <w:color w:val="auto"/>
          <w:sz w:val="24"/>
          <w:highlight w:val="none"/>
        </w:rPr>
      </w:pPr>
      <w:r>
        <w:rPr>
          <w:rFonts w:hint="eastAsia" w:ascii="宋体"/>
          <w:b/>
          <w:color w:val="auto"/>
          <w:sz w:val="24"/>
          <w:highlight w:val="none"/>
        </w:rPr>
        <w:t>投标人：                    （盖单位章）</w:t>
      </w:r>
    </w:p>
    <w:p>
      <w:pPr>
        <w:spacing w:line="360" w:lineRule="auto"/>
        <w:rPr>
          <w:rFonts w:ascii="宋体"/>
          <w:b/>
          <w:color w:val="auto"/>
          <w:sz w:val="24"/>
          <w:highlight w:val="none"/>
        </w:rPr>
      </w:pPr>
      <w:r>
        <w:rPr>
          <w:rFonts w:hint="eastAsia" w:ascii="宋体"/>
          <w:b/>
          <w:color w:val="auto"/>
          <w:sz w:val="24"/>
          <w:highlight w:val="none"/>
        </w:rPr>
        <w:t xml:space="preserve">                       法定代表人（或其委托代理人）：     （签字或盖章）</w:t>
      </w:r>
    </w:p>
    <w:p>
      <w:pPr>
        <w:spacing w:line="520" w:lineRule="exact"/>
        <w:ind w:firstLine="495"/>
        <w:rPr>
          <w:rFonts w:ascii="宋体" w:hAnsi="宋体"/>
          <w:color w:val="auto"/>
          <w:sz w:val="24"/>
          <w:highlight w:val="none"/>
        </w:rPr>
      </w:pPr>
      <w:r>
        <w:rPr>
          <w:rFonts w:hint="eastAsia" w:ascii="宋体"/>
          <w:b/>
          <w:color w:val="auto"/>
          <w:sz w:val="24"/>
          <w:highlight w:val="none"/>
        </w:rPr>
        <w:t xml:space="preserve">                                         年   月    日</w:t>
      </w:r>
    </w:p>
    <w:p>
      <w:pPr>
        <w:rPr>
          <w:color w:val="auto"/>
          <w:highlight w:val="none"/>
        </w:rPr>
      </w:pPr>
    </w:p>
    <w:p>
      <w:pPr>
        <w:pStyle w:val="3"/>
        <w:ind w:firstLine="0" w:firstLineChars="0"/>
        <w:rPr>
          <w:rFonts w:hAnsi="宋体"/>
          <w:color w:val="auto"/>
          <w:sz w:val="26"/>
          <w:highlight w:val="none"/>
        </w:rPr>
      </w:pPr>
    </w:p>
    <w:p>
      <w:pPr>
        <w:pStyle w:val="3"/>
        <w:ind w:firstLine="0" w:firstLineChars="0"/>
        <w:rPr>
          <w:rFonts w:hAnsi="宋体"/>
          <w:color w:val="auto"/>
          <w:sz w:val="26"/>
          <w:highlight w:val="none"/>
        </w:rPr>
      </w:pPr>
    </w:p>
    <w:p>
      <w:pPr>
        <w:pStyle w:val="3"/>
        <w:ind w:firstLine="0" w:firstLineChars="0"/>
        <w:rPr>
          <w:rFonts w:hAnsi="宋体"/>
          <w:color w:val="auto"/>
          <w:sz w:val="26"/>
          <w:highlight w:val="none"/>
        </w:rPr>
      </w:pPr>
    </w:p>
    <w:p>
      <w:pPr>
        <w:spacing w:line="440" w:lineRule="exact"/>
        <w:rPr>
          <w:rFonts w:ascii="宋体"/>
          <w:b/>
          <w:color w:val="auto"/>
          <w:sz w:val="24"/>
          <w:highlight w:val="none"/>
        </w:rPr>
      </w:pPr>
      <w:r>
        <w:rPr>
          <w:rFonts w:hint="eastAsia" w:ascii="宋体"/>
          <w:b/>
          <w:color w:val="auto"/>
          <w:sz w:val="24"/>
          <w:highlight w:val="none"/>
        </w:rPr>
        <w:t>表5</w:t>
      </w:r>
    </w:p>
    <w:p>
      <w:pPr>
        <w:spacing w:line="360" w:lineRule="auto"/>
        <w:jc w:val="center"/>
        <w:rPr>
          <w:color w:val="auto"/>
          <w:highlight w:val="none"/>
        </w:rPr>
      </w:pPr>
      <w:r>
        <w:rPr>
          <w:rFonts w:hint="eastAsia" w:ascii="黑体" w:eastAsia="黑体"/>
          <w:b/>
          <w:color w:val="auto"/>
          <w:sz w:val="32"/>
          <w:highlight w:val="none"/>
        </w:rPr>
        <w:t>投入本工程检测仪器、设备汇总表</w:t>
      </w:r>
    </w:p>
    <w:p>
      <w:pPr>
        <w:spacing w:line="520" w:lineRule="exact"/>
        <w:ind w:firstLine="495"/>
        <w:rPr>
          <w:rFonts w:ascii="楷体_GB2312" w:hAnsi="宋体" w:eastAsia="楷体_GB2312"/>
          <w:color w:val="auto"/>
          <w:sz w:val="28"/>
          <w:highlight w:val="none"/>
        </w:rPr>
      </w:pPr>
      <w:r>
        <w:rPr>
          <w:rFonts w:hint="eastAsia" w:ascii="宋体" w:hAnsi="宋体"/>
          <w:color w:val="auto"/>
          <w:sz w:val="24"/>
          <w:highlight w:val="none"/>
        </w:rPr>
        <w:t xml:space="preserve">工程名称： </w:t>
      </w:r>
    </w:p>
    <w:tbl>
      <w:tblPr>
        <w:tblStyle w:val="18"/>
        <w:tblW w:w="10080" w:type="dxa"/>
        <w:tblInd w:w="-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205"/>
        <w:gridCol w:w="2205"/>
        <w:gridCol w:w="1260"/>
        <w:gridCol w:w="1260"/>
        <w:gridCol w:w="147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宋体" w:hAnsi="宋体"/>
                <w:b/>
                <w:bCs/>
                <w:color w:val="auto"/>
                <w:sz w:val="24"/>
                <w:highlight w:val="none"/>
              </w:rPr>
            </w:pPr>
            <w:r>
              <w:rPr>
                <w:rFonts w:hint="eastAsia" w:ascii="宋体" w:hAnsi="宋体"/>
                <w:b/>
                <w:bCs/>
                <w:color w:val="auto"/>
                <w:sz w:val="24"/>
                <w:highlight w:val="none"/>
              </w:rPr>
              <w:t>序号</w:t>
            </w:r>
          </w:p>
        </w:tc>
        <w:tc>
          <w:tcPr>
            <w:tcW w:w="2205" w:type="dxa"/>
          </w:tcPr>
          <w:p>
            <w:pPr>
              <w:tabs>
                <w:tab w:val="left" w:pos="3952"/>
              </w:tabs>
              <w:spacing w:line="460" w:lineRule="exact"/>
              <w:ind w:left="-100"/>
              <w:jc w:val="center"/>
              <w:rPr>
                <w:rFonts w:ascii="宋体" w:hAnsi="宋体"/>
                <w:b/>
                <w:bCs/>
                <w:color w:val="auto"/>
                <w:sz w:val="24"/>
                <w:highlight w:val="none"/>
              </w:rPr>
            </w:pPr>
            <w:r>
              <w:rPr>
                <w:rFonts w:hint="eastAsia" w:ascii="宋体" w:hAnsi="宋体"/>
                <w:b/>
                <w:bCs/>
                <w:color w:val="auto"/>
                <w:sz w:val="24"/>
                <w:highlight w:val="none"/>
              </w:rPr>
              <w:t>仪器、设备名称</w:t>
            </w:r>
          </w:p>
        </w:tc>
        <w:tc>
          <w:tcPr>
            <w:tcW w:w="2205" w:type="dxa"/>
          </w:tcPr>
          <w:p>
            <w:pPr>
              <w:tabs>
                <w:tab w:val="left" w:pos="3952"/>
              </w:tabs>
              <w:spacing w:line="460" w:lineRule="exact"/>
              <w:ind w:left="-100"/>
              <w:jc w:val="center"/>
              <w:rPr>
                <w:rFonts w:ascii="宋体" w:hAnsi="宋体"/>
                <w:b/>
                <w:bCs/>
                <w:color w:val="auto"/>
                <w:sz w:val="24"/>
                <w:highlight w:val="none"/>
              </w:rPr>
            </w:pPr>
            <w:r>
              <w:rPr>
                <w:rFonts w:hint="eastAsia" w:ascii="宋体" w:hAnsi="宋体"/>
                <w:b/>
                <w:bCs/>
                <w:color w:val="auto"/>
                <w:sz w:val="24"/>
                <w:highlight w:val="none"/>
              </w:rPr>
              <w:t>规格型号</w:t>
            </w:r>
          </w:p>
        </w:tc>
        <w:tc>
          <w:tcPr>
            <w:tcW w:w="1260" w:type="dxa"/>
          </w:tcPr>
          <w:p>
            <w:pPr>
              <w:tabs>
                <w:tab w:val="left" w:pos="3952"/>
              </w:tabs>
              <w:spacing w:line="460" w:lineRule="exact"/>
              <w:ind w:left="-100"/>
              <w:jc w:val="center"/>
              <w:rPr>
                <w:rFonts w:ascii="宋体" w:hAnsi="宋体"/>
                <w:b/>
                <w:bCs/>
                <w:color w:val="auto"/>
                <w:sz w:val="24"/>
                <w:highlight w:val="none"/>
              </w:rPr>
            </w:pPr>
            <w:r>
              <w:rPr>
                <w:rFonts w:hint="eastAsia" w:ascii="宋体" w:hAnsi="宋体"/>
                <w:b/>
                <w:bCs/>
                <w:color w:val="auto"/>
                <w:sz w:val="24"/>
                <w:highlight w:val="none"/>
              </w:rPr>
              <w:t>数量</w:t>
            </w:r>
          </w:p>
        </w:tc>
        <w:tc>
          <w:tcPr>
            <w:tcW w:w="1260" w:type="dxa"/>
          </w:tcPr>
          <w:p>
            <w:pPr>
              <w:tabs>
                <w:tab w:val="left" w:pos="3952"/>
              </w:tabs>
              <w:spacing w:line="460" w:lineRule="exact"/>
              <w:ind w:left="-100"/>
              <w:jc w:val="center"/>
              <w:rPr>
                <w:rFonts w:ascii="宋体" w:hAnsi="宋体"/>
                <w:b/>
                <w:bCs/>
                <w:color w:val="auto"/>
                <w:sz w:val="24"/>
                <w:highlight w:val="none"/>
              </w:rPr>
            </w:pPr>
            <w:r>
              <w:rPr>
                <w:rFonts w:hint="eastAsia" w:ascii="宋体" w:hAnsi="宋体"/>
                <w:b/>
                <w:bCs/>
                <w:color w:val="auto"/>
                <w:sz w:val="24"/>
                <w:highlight w:val="none"/>
              </w:rPr>
              <w:t>使用情况</w:t>
            </w:r>
          </w:p>
        </w:tc>
        <w:tc>
          <w:tcPr>
            <w:tcW w:w="1470" w:type="dxa"/>
          </w:tcPr>
          <w:p>
            <w:pPr>
              <w:tabs>
                <w:tab w:val="left" w:pos="3952"/>
              </w:tabs>
              <w:spacing w:line="460" w:lineRule="exact"/>
              <w:ind w:left="-100"/>
              <w:jc w:val="center"/>
              <w:rPr>
                <w:rFonts w:ascii="宋体" w:hAnsi="宋体"/>
                <w:b/>
                <w:bCs/>
                <w:color w:val="auto"/>
                <w:sz w:val="24"/>
                <w:highlight w:val="none"/>
              </w:rPr>
            </w:pPr>
            <w:r>
              <w:rPr>
                <w:rFonts w:hint="eastAsia" w:ascii="宋体" w:hAnsi="宋体"/>
                <w:b/>
                <w:bCs/>
                <w:color w:val="auto"/>
                <w:sz w:val="24"/>
                <w:highlight w:val="none"/>
              </w:rPr>
              <w:t>投入时间</w:t>
            </w:r>
          </w:p>
        </w:tc>
        <w:tc>
          <w:tcPr>
            <w:tcW w:w="945" w:type="dxa"/>
          </w:tcPr>
          <w:p>
            <w:pPr>
              <w:tabs>
                <w:tab w:val="left" w:pos="3952"/>
              </w:tabs>
              <w:spacing w:line="460" w:lineRule="exact"/>
              <w:ind w:left="-100"/>
              <w:jc w:val="center"/>
              <w:rPr>
                <w:rFonts w:ascii="宋体" w:hAnsi="宋体"/>
                <w:b/>
                <w:bCs/>
                <w:color w:val="auto"/>
                <w:sz w:val="24"/>
                <w:highlight w:val="none"/>
              </w:rPr>
            </w:pPr>
            <w:r>
              <w:rPr>
                <w:rFonts w:hint="eastAsia" w:ascii="宋体" w:hAnsi="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spacing w:line="460" w:lineRule="exact"/>
              <w:jc w:val="center"/>
              <w:rPr>
                <w:rFonts w:ascii="楷体_GB2312" w:eastAsia="楷体_GB2312"/>
                <w:bCs/>
                <w:color w:val="auto"/>
                <w:spacing w:val="14"/>
                <w:sz w:val="24"/>
                <w:highlight w:val="none"/>
              </w:rPr>
            </w:pPr>
          </w:p>
        </w:tc>
        <w:tc>
          <w:tcPr>
            <w:tcW w:w="2205" w:type="dxa"/>
          </w:tcPr>
          <w:p>
            <w:pPr>
              <w:spacing w:line="460" w:lineRule="exact"/>
              <w:jc w:val="center"/>
              <w:rPr>
                <w:rFonts w:ascii="楷体_GB2312" w:eastAsia="楷体_GB2312"/>
                <w:bCs/>
                <w:color w:val="auto"/>
                <w:spacing w:val="14"/>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spacing w:line="460" w:lineRule="exact"/>
              <w:jc w:val="center"/>
              <w:rPr>
                <w:rFonts w:ascii="楷体_GB2312" w:eastAsia="楷体_GB2312"/>
                <w:bCs/>
                <w:color w:val="auto"/>
                <w:spacing w:val="14"/>
                <w:sz w:val="24"/>
                <w:highlight w:val="none"/>
              </w:rPr>
            </w:pPr>
          </w:p>
        </w:tc>
        <w:tc>
          <w:tcPr>
            <w:tcW w:w="2205" w:type="dxa"/>
          </w:tcPr>
          <w:p>
            <w:pPr>
              <w:spacing w:line="460" w:lineRule="exact"/>
              <w:jc w:val="center"/>
              <w:rPr>
                <w:rFonts w:ascii="楷体_GB2312" w:eastAsia="楷体_GB2312"/>
                <w:bCs/>
                <w:color w:val="auto"/>
                <w:spacing w:val="14"/>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spacing w:line="460" w:lineRule="exact"/>
              <w:jc w:val="center"/>
              <w:rPr>
                <w:rFonts w:ascii="楷体_GB2312" w:eastAsia="楷体_GB2312"/>
                <w:bCs/>
                <w:color w:val="auto"/>
                <w:spacing w:val="14"/>
                <w:sz w:val="24"/>
                <w:highlight w:val="none"/>
              </w:rPr>
            </w:pPr>
          </w:p>
        </w:tc>
        <w:tc>
          <w:tcPr>
            <w:tcW w:w="2205" w:type="dxa"/>
          </w:tcPr>
          <w:p>
            <w:pPr>
              <w:spacing w:line="460" w:lineRule="exact"/>
              <w:jc w:val="center"/>
              <w:rPr>
                <w:rFonts w:ascii="楷体_GB2312" w:eastAsia="楷体_GB2312"/>
                <w:bCs/>
                <w:color w:val="auto"/>
                <w:spacing w:val="14"/>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spacing w:line="460" w:lineRule="exact"/>
              <w:jc w:val="center"/>
              <w:rPr>
                <w:rFonts w:ascii="楷体_GB2312" w:eastAsia="楷体_GB2312"/>
                <w:bCs/>
                <w:color w:val="auto"/>
                <w:spacing w:val="14"/>
                <w:sz w:val="24"/>
                <w:highlight w:val="none"/>
              </w:rPr>
            </w:pPr>
          </w:p>
        </w:tc>
        <w:tc>
          <w:tcPr>
            <w:tcW w:w="2205" w:type="dxa"/>
          </w:tcPr>
          <w:p>
            <w:pPr>
              <w:spacing w:line="460" w:lineRule="exact"/>
              <w:jc w:val="center"/>
              <w:rPr>
                <w:rFonts w:ascii="楷体_GB2312" w:eastAsia="楷体_GB2312"/>
                <w:bCs/>
                <w:color w:val="auto"/>
                <w:spacing w:val="14"/>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spacing w:line="460" w:lineRule="exact"/>
              <w:jc w:val="center"/>
              <w:rPr>
                <w:rFonts w:ascii="楷体_GB2312" w:eastAsia="楷体_GB2312"/>
                <w:bCs/>
                <w:color w:val="auto"/>
                <w:spacing w:val="14"/>
                <w:sz w:val="24"/>
                <w:highlight w:val="none"/>
              </w:rPr>
            </w:pPr>
          </w:p>
        </w:tc>
        <w:tc>
          <w:tcPr>
            <w:tcW w:w="2205" w:type="dxa"/>
          </w:tcPr>
          <w:p>
            <w:pPr>
              <w:spacing w:line="460" w:lineRule="exact"/>
              <w:jc w:val="center"/>
              <w:rPr>
                <w:rFonts w:ascii="楷体_GB2312" w:eastAsia="楷体_GB2312"/>
                <w:bCs/>
                <w:color w:val="auto"/>
                <w:spacing w:val="14"/>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pacing w:val="-20"/>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pacing w:val="-20"/>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2205"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260" w:type="dxa"/>
          </w:tcPr>
          <w:p>
            <w:pPr>
              <w:tabs>
                <w:tab w:val="left" w:pos="3952"/>
              </w:tabs>
              <w:spacing w:line="460" w:lineRule="exact"/>
              <w:jc w:val="center"/>
              <w:rPr>
                <w:rFonts w:ascii="楷体_GB2312" w:hAnsi="宋体" w:eastAsia="楷体_GB2312"/>
                <w:color w:val="auto"/>
                <w:sz w:val="24"/>
                <w:highlight w:val="none"/>
              </w:rPr>
            </w:pPr>
          </w:p>
        </w:tc>
        <w:tc>
          <w:tcPr>
            <w:tcW w:w="1470" w:type="dxa"/>
          </w:tcPr>
          <w:p>
            <w:pPr>
              <w:tabs>
                <w:tab w:val="left" w:pos="3952"/>
              </w:tabs>
              <w:spacing w:line="460" w:lineRule="exact"/>
              <w:jc w:val="center"/>
              <w:rPr>
                <w:rFonts w:ascii="楷体_GB2312" w:hAnsi="宋体" w:eastAsia="楷体_GB2312"/>
                <w:color w:val="auto"/>
                <w:sz w:val="24"/>
                <w:highlight w:val="none"/>
              </w:rPr>
            </w:pPr>
          </w:p>
        </w:tc>
        <w:tc>
          <w:tcPr>
            <w:tcW w:w="945" w:type="dxa"/>
          </w:tcPr>
          <w:p>
            <w:pPr>
              <w:tabs>
                <w:tab w:val="left" w:pos="3952"/>
              </w:tabs>
              <w:spacing w:line="460" w:lineRule="exact"/>
              <w:jc w:val="center"/>
              <w:rPr>
                <w:rFonts w:ascii="楷体_GB2312" w:hAnsi="宋体" w:eastAsia="楷体_GB2312"/>
                <w:color w:val="auto"/>
                <w:sz w:val="24"/>
                <w:highlight w:val="none"/>
              </w:rPr>
            </w:pPr>
          </w:p>
        </w:tc>
      </w:tr>
    </w:tbl>
    <w:p>
      <w:pPr>
        <w:pStyle w:val="11"/>
        <w:spacing w:line="500" w:lineRule="exact"/>
        <w:ind w:right="210" w:rightChars="100"/>
        <w:rPr>
          <w:rFonts w:ascii="楷体_GB2312" w:eastAsia="楷体_GB2312"/>
          <w:b/>
          <w:color w:val="auto"/>
          <w:spacing w:val="14"/>
          <w:sz w:val="30"/>
          <w:highlight w:val="none"/>
        </w:rPr>
      </w:pPr>
    </w:p>
    <w:p>
      <w:pPr>
        <w:pStyle w:val="11"/>
        <w:spacing w:line="500" w:lineRule="exact"/>
        <w:ind w:right="210" w:rightChars="100"/>
        <w:rPr>
          <w:rFonts w:ascii="楷体_GB2312" w:eastAsia="楷体_GB2312"/>
          <w:b/>
          <w:color w:val="auto"/>
          <w:spacing w:val="14"/>
          <w:sz w:val="30"/>
          <w:highlight w:val="none"/>
        </w:rPr>
      </w:pPr>
    </w:p>
    <w:p>
      <w:pPr>
        <w:spacing w:line="360" w:lineRule="auto"/>
        <w:ind w:firstLine="3373" w:firstLineChars="1400"/>
        <w:rPr>
          <w:rFonts w:ascii="宋体"/>
          <w:b/>
          <w:color w:val="auto"/>
          <w:sz w:val="24"/>
          <w:highlight w:val="none"/>
        </w:rPr>
      </w:pPr>
      <w:r>
        <w:rPr>
          <w:rFonts w:hint="eastAsia" w:ascii="宋体"/>
          <w:b/>
          <w:color w:val="auto"/>
          <w:sz w:val="24"/>
          <w:highlight w:val="none"/>
        </w:rPr>
        <w:t>投标人：                    （盖单位章）</w:t>
      </w:r>
    </w:p>
    <w:p>
      <w:pPr>
        <w:spacing w:line="360" w:lineRule="auto"/>
        <w:rPr>
          <w:rFonts w:ascii="宋体"/>
          <w:b/>
          <w:color w:val="auto"/>
          <w:sz w:val="24"/>
          <w:highlight w:val="none"/>
        </w:rPr>
      </w:pPr>
      <w:r>
        <w:rPr>
          <w:rFonts w:hint="eastAsia" w:ascii="宋体"/>
          <w:b/>
          <w:color w:val="auto"/>
          <w:sz w:val="24"/>
          <w:highlight w:val="none"/>
        </w:rPr>
        <w:t xml:space="preserve">                       法定代表人（或其委托代理人）：     （签字或盖章）</w:t>
      </w:r>
    </w:p>
    <w:p>
      <w:pPr>
        <w:spacing w:line="520" w:lineRule="exact"/>
        <w:ind w:firstLine="495"/>
        <w:rPr>
          <w:rFonts w:ascii="宋体"/>
          <w:b/>
          <w:color w:val="auto"/>
          <w:sz w:val="24"/>
          <w:highlight w:val="none"/>
        </w:rPr>
      </w:pPr>
      <w:r>
        <w:rPr>
          <w:rFonts w:hint="eastAsia" w:ascii="宋体"/>
          <w:b/>
          <w:color w:val="auto"/>
          <w:sz w:val="24"/>
          <w:highlight w:val="none"/>
        </w:rPr>
        <w:t xml:space="preserve">                                         年   月    日</w:t>
      </w:r>
    </w:p>
    <w:p>
      <w:pPr>
        <w:spacing w:line="520" w:lineRule="exact"/>
        <w:ind w:firstLine="495"/>
        <w:rPr>
          <w:rFonts w:ascii="宋体" w:hAnsi="宋体"/>
          <w:color w:val="auto"/>
          <w:sz w:val="24"/>
          <w:highlight w:val="none"/>
        </w:rPr>
      </w:pPr>
    </w:p>
    <w:p>
      <w:pPr>
        <w:pStyle w:val="11"/>
        <w:spacing w:line="360" w:lineRule="auto"/>
        <w:ind w:right="21" w:rightChars="10"/>
        <w:rPr>
          <w:rFonts w:hint="eastAsia"/>
          <w:b/>
          <w:bCs/>
          <w:color w:val="auto"/>
          <w:sz w:val="28"/>
          <w:highlight w:val="none"/>
        </w:rPr>
      </w:pPr>
      <w:r>
        <w:rPr>
          <w:rFonts w:hint="eastAsia"/>
          <w:b/>
          <w:bCs/>
          <w:color w:val="auto"/>
          <w:sz w:val="28"/>
          <w:highlight w:val="none"/>
        </w:rPr>
        <w:t>注：其它附表无格式要求，投标人可自行编制。</w:t>
      </w:r>
    </w:p>
    <w:p>
      <w:pPr>
        <w:pStyle w:val="11"/>
        <w:spacing w:line="360" w:lineRule="auto"/>
        <w:ind w:right="21" w:rightChars="10"/>
        <w:rPr>
          <w:rFonts w:hint="eastAsia"/>
          <w:b/>
          <w:bCs/>
          <w:color w:val="auto"/>
          <w:sz w:val="28"/>
          <w:highlight w:val="none"/>
        </w:rPr>
      </w:pPr>
    </w:p>
    <w:p>
      <w:pPr>
        <w:pStyle w:val="11"/>
        <w:spacing w:line="360" w:lineRule="auto"/>
        <w:ind w:right="21" w:rightChars="10"/>
        <w:rPr>
          <w:rFonts w:hint="eastAsia"/>
          <w:b/>
          <w:bCs/>
          <w:color w:val="auto"/>
          <w:sz w:val="28"/>
          <w:highlight w:val="none"/>
        </w:rPr>
      </w:pPr>
    </w:p>
    <w:p>
      <w:pPr>
        <w:spacing w:line="440" w:lineRule="exact"/>
        <w:rPr>
          <w:rFonts w:hint="eastAsia" w:ascii="宋体" w:eastAsia="宋体"/>
          <w:b/>
          <w:color w:val="auto"/>
          <w:sz w:val="24"/>
          <w:highlight w:val="none"/>
          <w:lang w:eastAsia="zh-CN"/>
        </w:rPr>
      </w:pPr>
      <w:r>
        <w:rPr>
          <w:rFonts w:hint="eastAsia" w:ascii="宋体"/>
          <w:b/>
          <w:color w:val="auto"/>
          <w:sz w:val="24"/>
          <w:highlight w:val="none"/>
        </w:rPr>
        <w:t>表</w:t>
      </w:r>
      <w:r>
        <w:rPr>
          <w:rFonts w:hint="eastAsia" w:ascii="宋体"/>
          <w:b/>
          <w:color w:val="auto"/>
          <w:sz w:val="24"/>
          <w:highlight w:val="none"/>
          <w:lang w:val="en-US" w:eastAsia="zh-CN"/>
        </w:rPr>
        <w:t>6</w:t>
      </w:r>
    </w:p>
    <w:p>
      <w:pPr>
        <w:pStyle w:val="11"/>
        <w:spacing w:line="360" w:lineRule="auto"/>
        <w:ind w:right="21" w:rightChars="10"/>
        <w:jc w:val="center"/>
        <w:rPr>
          <w:rFonts w:hint="eastAsia"/>
          <w:b/>
          <w:bCs/>
          <w:color w:val="auto"/>
          <w:sz w:val="36"/>
          <w:szCs w:val="24"/>
          <w:highlight w:val="none"/>
        </w:rPr>
      </w:pPr>
      <w:r>
        <w:rPr>
          <w:rFonts w:hint="eastAsia"/>
          <w:b/>
          <w:bCs/>
          <w:color w:val="auto"/>
          <w:sz w:val="36"/>
          <w:szCs w:val="24"/>
          <w:highlight w:val="none"/>
        </w:rPr>
        <w:t xml:space="preserve">人员配备承诺书 </w:t>
      </w:r>
    </w:p>
    <w:p>
      <w:pPr>
        <w:pStyle w:val="11"/>
        <w:spacing w:line="360" w:lineRule="auto"/>
        <w:ind w:right="21" w:rightChars="10"/>
        <w:rPr>
          <w:rFonts w:hint="eastAsia"/>
          <w:b/>
          <w:bCs/>
          <w:color w:val="auto"/>
          <w:sz w:val="28"/>
          <w:highlight w:val="none"/>
          <w:u w:val="single"/>
          <w:lang w:val="en-US" w:eastAsia="zh-CN"/>
        </w:rPr>
      </w:pPr>
    </w:p>
    <w:p>
      <w:pPr>
        <w:pStyle w:val="11"/>
        <w:spacing w:line="360" w:lineRule="auto"/>
        <w:ind w:right="21" w:rightChars="10"/>
        <w:rPr>
          <w:rFonts w:hint="eastAsia"/>
          <w:b/>
          <w:bCs/>
          <w:color w:val="auto"/>
          <w:sz w:val="28"/>
          <w:highlight w:val="none"/>
        </w:rPr>
      </w:pPr>
      <w:r>
        <w:rPr>
          <w:rFonts w:hint="eastAsia"/>
          <w:b/>
          <w:bCs/>
          <w:color w:val="auto"/>
          <w:sz w:val="28"/>
          <w:highlight w:val="none"/>
          <w:u w:val="single"/>
          <w:lang w:val="en-US" w:eastAsia="zh-CN"/>
        </w:rPr>
        <w:t xml:space="preserve">             </w:t>
      </w:r>
      <w:r>
        <w:rPr>
          <w:rFonts w:hint="eastAsia"/>
          <w:b/>
          <w:bCs/>
          <w:color w:val="auto"/>
          <w:sz w:val="28"/>
          <w:highlight w:val="none"/>
        </w:rPr>
        <w:t>（招标人名称）:</w:t>
      </w:r>
    </w:p>
    <w:p>
      <w:pPr>
        <w:pStyle w:val="11"/>
        <w:spacing w:line="360" w:lineRule="auto"/>
        <w:ind w:right="21" w:rightChars="10" w:firstLine="562" w:firstLineChars="200"/>
        <w:rPr>
          <w:rFonts w:hint="eastAsia"/>
          <w:b/>
          <w:bCs/>
          <w:color w:val="auto"/>
          <w:sz w:val="28"/>
          <w:highlight w:val="none"/>
        </w:rPr>
      </w:pPr>
      <w:r>
        <w:rPr>
          <w:rFonts w:hint="eastAsia"/>
          <w:b/>
          <w:bCs/>
          <w:color w:val="auto"/>
          <w:sz w:val="28"/>
          <w:highlight w:val="none"/>
        </w:rPr>
        <w:t>我公司承诺标后项目管理人员配备符合 《金华市房屋建筑和市政基础设施工程施工项目部和现场监理部关键岗位人员配备标准及管理办法（试行）》和浙人防办〔2014〕4号要求，并缴纳社会保险。</w:t>
      </w:r>
    </w:p>
    <w:p>
      <w:pPr>
        <w:pStyle w:val="11"/>
        <w:spacing w:line="360" w:lineRule="auto"/>
        <w:ind w:right="21" w:rightChars="10"/>
        <w:rPr>
          <w:rFonts w:hint="eastAsia"/>
          <w:b/>
          <w:bCs/>
          <w:color w:val="auto"/>
          <w:sz w:val="28"/>
          <w:highlight w:val="none"/>
        </w:rPr>
      </w:pPr>
    </w:p>
    <w:p>
      <w:pPr>
        <w:pStyle w:val="11"/>
        <w:spacing w:line="360" w:lineRule="auto"/>
        <w:ind w:right="21" w:rightChars="10"/>
        <w:rPr>
          <w:rFonts w:hint="eastAsia"/>
          <w:b/>
          <w:bCs/>
          <w:color w:val="auto"/>
          <w:sz w:val="28"/>
          <w:highlight w:val="none"/>
        </w:rPr>
      </w:pPr>
    </w:p>
    <w:p>
      <w:pPr>
        <w:pStyle w:val="11"/>
        <w:spacing w:line="360" w:lineRule="auto"/>
        <w:ind w:right="21" w:rightChars="10" w:firstLine="3373" w:firstLineChars="1200"/>
        <w:rPr>
          <w:rFonts w:hint="eastAsia"/>
          <w:b/>
          <w:bCs/>
          <w:color w:val="auto"/>
          <w:sz w:val="28"/>
          <w:highlight w:val="none"/>
        </w:rPr>
      </w:pPr>
      <w:r>
        <w:rPr>
          <w:rFonts w:hint="eastAsia"/>
          <w:b/>
          <w:bCs/>
          <w:color w:val="auto"/>
          <w:sz w:val="28"/>
          <w:highlight w:val="none"/>
        </w:rPr>
        <w:t>投标人：</w:t>
      </w:r>
      <w:r>
        <w:rPr>
          <w:rFonts w:hint="eastAsia"/>
          <w:b/>
          <w:bCs/>
          <w:color w:val="auto"/>
          <w:sz w:val="28"/>
          <w:highlight w:val="none"/>
          <w:u w:val="single"/>
          <w:lang w:val="en-US" w:eastAsia="zh-CN"/>
        </w:rPr>
        <w:t xml:space="preserve">               </w:t>
      </w:r>
      <w:r>
        <w:rPr>
          <w:rFonts w:hint="eastAsia"/>
          <w:b/>
          <w:bCs/>
          <w:color w:val="auto"/>
          <w:sz w:val="28"/>
          <w:highlight w:val="none"/>
        </w:rPr>
        <w:t xml:space="preserve"> （盖单位公章）</w:t>
      </w:r>
    </w:p>
    <w:p>
      <w:pPr>
        <w:pStyle w:val="11"/>
        <w:spacing w:line="360" w:lineRule="auto"/>
        <w:ind w:right="21" w:rightChars="10" w:firstLine="4498" w:firstLineChars="1600"/>
        <w:rPr>
          <w:rFonts w:hint="eastAsia"/>
          <w:b/>
          <w:bCs/>
          <w:color w:val="auto"/>
          <w:sz w:val="28"/>
          <w:highlight w:val="none"/>
        </w:rPr>
      </w:pPr>
      <w:r>
        <w:rPr>
          <w:rFonts w:hint="eastAsia"/>
          <w:b/>
          <w:bCs/>
          <w:color w:val="auto"/>
          <w:sz w:val="28"/>
          <w:highlight w:val="none"/>
          <w:u w:val="single"/>
          <w:lang w:val="en-US" w:eastAsia="zh-CN"/>
        </w:rPr>
        <w:t xml:space="preserve">     </w:t>
      </w:r>
      <w:r>
        <w:rPr>
          <w:rFonts w:hint="eastAsia"/>
          <w:b/>
          <w:bCs/>
          <w:color w:val="auto"/>
          <w:sz w:val="28"/>
          <w:highlight w:val="none"/>
        </w:rPr>
        <w:t>年</w:t>
      </w:r>
      <w:r>
        <w:rPr>
          <w:rFonts w:hint="eastAsia"/>
          <w:b/>
          <w:bCs/>
          <w:color w:val="auto"/>
          <w:sz w:val="28"/>
          <w:highlight w:val="none"/>
          <w:u w:val="single"/>
          <w:lang w:val="en-US" w:eastAsia="zh-CN"/>
        </w:rPr>
        <w:t xml:space="preserve">     </w:t>
      </w:r>
      <w:r>
        <w:rPr>
          <w:rFonts w:hint="eastAsia"/>
          <w:b/>
          <w:bCs/>
          <w:color w:val="auto"/>
          <w:sz w:val="28"/>
          <w:highlight w:val="none"/>
        </w:rPr>
        <w:t>月</w:t>
      </w:r>
      <w:r>
        <w:rPr>
          <w:rFonts w:hint="eastAsia"/>
          <w:b/>
          <w:bCs/>
          <w:color w:val="auto"/>
          <w:sz w:val="28"/>
          <w:highlight w:val="none"/>
          <w:u w:val="single"/>
          <w:lang w:val="en-US" w:eastAsia="zh-CN"/>
        </w:rPr>
        <w:t xml:space="preserve">     </w:t>
      </w:r>
      <w:r>
        <w:rPr>
          <w:rFonts w:hint="eastAsia"/>
          <w:b/>
          <w:bCs/>
          <w:color w:val="auto"/>
          <w:sz w:val="28"/>
          <w:highlight w:val="none"/>
        </w:rPr>
        <w:t>日</w:t>
      </w:r>
    </w:p>
    <w:p>
      <w:pPr>
        <w:rPr>
          <w:color w:val="auto"/>
          <w:highlight w:val="none"/>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黑体简体">
    <w:altName w:val="宋体"/>
    <w:panose1 w:val="00000000000000000000"/>
    <w:charset w:val="86"/>
    <w:family w:val="auto"/>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separate"/>
    </w:r>
    <w:r>
      <w:rPr>
        <w:rStyle w:val="20"/>
      </w:rPr>
      <w:t>3</w:t>
    </w:r>
    <w: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separate"/>
    </w:r>
    <w:r>
      <w:rPr>
        <w:rStyle w:val="20"/>
      </w:rPr>
      <w:t>55</w:t>
    </w:r>
    <w:r>
      <w:fldChar w:fldCharType="end"/>
    </w:r>
  </w:p>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2F66B"/>
    <w:multiLevelType w:val="singleLevel"/>
    <w:tmpl w:val="AC82F66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3D39"/>
    <w:rsid w:val="000029A9"/>
    <w:rsid w:val="00007614"/>
    <w:rsid w:val="0002661B"/>
    <w:rsid w:val="00031BE2"/>
    <w:rsid w:val="00041EB4"/>
    <w:rsid w:val="00050802"/>
    <w:rsid w:val="00054E8E"/>
    <w:rsid w:val="00065DCD"/>
    <w:rsid w:val="00071335"/>
    <w:rsid w:val="00095003"/>
    <w:rsid w:val="000B3856"/>
    <w:rsid w:val="000B677B"/>
    <w:rsid w:val="000C60F9"/>
    <w:rsid w:val="000D7C70"/>
    <w:rsid w:val="000E24EB"/>
    <w:rsid w:val="000F3CC0"/>
    <w:rsid w:val="00101199"/>
    <w:rsid w:val="00126359"/>
    <w:rsid w:val="00141254"/>
    <w:rsid w:val="001728FE"/>
    <w:rsid w:val="00186AC2"/>
    <w:rsid w:val="00197738"/>
    <w:rsid w:val="001A4359"/>
    <w:rsid w:val="001B18F2"/>
    <w:rsid w:val="001D15A9"/>
    <w:rsid w:val="001D6FAE"/>
    <w:rsid w:val="001E13A5"/>
    <w:rsid w:val="001F2501"/>
    <w:rsid w:val="001F30B3"/>
    <w:rsid w:val="00205869"/>
    <w:rsid w:val="0021538D"/>
    <w:rsid w:val="00223C35"/>
    <w:rsid w:val="002340B8"/>
    <w:rsid w:val="00236B8C"/>
    <w:rsid w:val="00237A45"/>
    <w:rsid w:val="00242003"/>
    <w:rsid w:val="00253227"/>
    <w:rsid w:val="00254CE7"/>
    <w:rsid w:val="00262BAF"/>
    <w:rsid w:val="00263E9D"/>
    <w:rsid w:val="002836DE"/>
    <w:rsid w:val="00293A37"/>
    <w:rsid w:val="002A705A"/>
    <w:rsid w:val="002E29BF"/>
    <w:rsid w:val="00332E63"/>
    <w:rsid w:val="00336310"/>
    <w:rsid w:val="003403E6"/>
    <w:rsid w:val="003701D9"/>
    <w:rsid w:val="0037185F"/>
    <w:rsid w:val="00373D39"/>
    <w:rsid w:val="003962DE"/>
    <w:rsid w:val="003A1822"/>
    <w:rsid w:val="003A65FF"/>
    <w:rsid w:val="003C3567"/>
    <w:rsid w:val="003C70EA"/>
    <w:rsid w:val="003C71EC"/>
    <w:rsid w:val="00402693"/>
    <w:rsid w:val="0041134B"/>
    <w:rsid w:val="00421C7B"/>
    <w:rsid w:val="00423D45"/>
    <w:rsid w:val="00446869"/>
    <w:rsid w:val="00447963"/>
    <w:rsid w:val="0045073D"/>
    <w:rsid w:val="004537B8"/>
    <w:rsid w:val="004733C3"/>
    <w:rsid w:val="00494674"/>
    <w:rsid w:val="00494EBC"/>
    <w:rsid w:val="004A791A"/>
    <w:rsid w:val="004B2E53"/>
    <w:rsid w:val="004C0E2E"/>
    <w:rsid w:val="004E1C67"/>
    <w:rsid w:val="005126F0"/>
    <w:rsid w:val="00536D5E"/>
    <w:rsid w:val="00544D30"/>
    <w:rsid w:val="00553F02"/>
    <w:rsid w:val="00563B3B"/>
    <w:rsid w:val="00577728"/>
    <w:rsid w:val="00586562"/>
    <w:rsid w:val="005B1CF2"/>
    <w:rsid w:val="005D5CEA"/>
    <w:rsid w:val="005E19AA"/>
    <w:rsid w:val="00606D49"/>
    <w:rsid w:val="0060701C"/>
    <w:rsid w:val="00615957"/>
    <w:rsid w:val="006173ED"/>
    <w:rsid w:val="00617C96"/>
    <w:rsid w:val="00642FED"/>
    <w:rsid w:val="0065743E"/>
    <w:rsid w:val="00661B2B"/>
    <w:rsid w:val="00691AEA"/>
    <w:rsid w:val="00696885"/>
    <w:rsid w:val="006B5BCC"/>
    <w:rsid w:val="0073278E"/>
    <w:rsid w:val="00734390"/>
    <w:rsid w:val="00742FDD"/>
    <w:rsid w:val="007437B8"/>
    <w:rsid w:val="00747506"/>
    <w:rsid w:val="0076283C"/>
    <w:rsid w:val="00766D84"/>
    <w:rsid w:val="00770269"/>
    <w:rsid w:val="00792020"/>
    <w:rsid w:val="007A1047"/>
    <w:rsid w:val="007B43F0"/>
    <w:rsid w:val="007C433B"/>
    <w:rsid w:val="007D0B59"/>
    <w:rsid w:val="007D4F67"/>
    <w:rsid w:val="007E1BF8"/>
    <w:rsid w:val="007E767F"/>
    <w:rsid w:val="00805F2B"/>
    <w:rsid w:val="0081124D"/>
    <w:rsid w:val="00815D56"/>
    <w:rsid w:val="008229D8"/>
    <w:rsid w:val="00830F7F"/>
    <w:rsid w:val="00833080"/>
    <w:rsid w:val="00833162"/>
    <w:rsid w:val="00833454"/>
    <w:rsid w:val="00844987"/>
    <w:rsid w:val="00871584"/>
    <w:rsid w:val="008845B4"/>
    <w:rsid w:val="008944AF"/>
    <w:rsid w:val="00896A13"/>
    <w:rsid w:val="008C6207"/>
    <w:rsid w:val="008E3A35"/>
    <w:rsid w:val="008E78BD"/>
    <w:rsid w:val="008F087D"/>
    <w:rsid w:val="00901BC7"/>
    <w:rsid w:val="00902643"/>
    <w:rsid w:val="00905B72"/>
    <w:rsid w:val="00917D2F"/>
    <w:rsid w:val="00920BAC"/>
    <w:rsid w:val="00925FC1"/>
    <w:rsid w:val="00931916"/>
    <w:rsid w:val="00935C9B"/>
    <w:rsid w:val="00984F8C"/>
    <w:rsid w:val="009A492B"/>
    <w:rsid w:val="009A5E97"/>
    <w:rsid w:val="009B04C8"/>
    <w:rsid w:val="009C4727"/>
    <w:rsid w:val="009D086D"/>
    <w:rsid w:val="009D3EAF"/>
    <w:rsid w:val="009E224A"/>
    <w:rsid w:val="009F7DEC"/>
    <w:rsid w:val="00A06BA7"/>
    <w:rsid w:val="00A075B0"/>
    <w:rsid w:val="00A15D03"/>
    <w:rsid w:val="00A16D34"/>
    <w:rsid w:val="00A2142E"/>
    <w:rsid w:val="00A31269"/>
    <w:rsid w:val="00A33FBD"/>
    <w:rsid w:val="00A41FD4"/>
    <w:rsid w:val="00A45C8F"/>
    <w:rsid w:val="00A672F4"/>
    <w:rsid w:val="00A73A02"/>
    <w:rsid w:val="00A85B11"/>
    <w:rsid w:val="00AA7B8D"/>
    <w:rsid w:val="00AC1AE6"/>
    <w:rsid w:val="00AC3945"/>
    <w:rsid w:val="00AD66A9"/>
    <w:rsid w:val="00AE1882"/>
    <w:rsid w:val="00AF4B3F"/>
    <w:rsid w:val="00AF5BD6"/>
    <w:rsid w:val="00B005E9"/>
    <w:rsid w:val="00B01CA2"/>
    <w:rsid w:val="00B478A8"/>
    <w:rsid w:val="00B51ED7"/>
    <w:rsid w:val="00B63472"/>
    <w:rsid w:val="00B84892"/>
    <w:rsid w:val="00B93C61"/>
    <w:rsid w:val="00BB0C78"/>
    <w:rsid w:val="00BC07F1"/>
    <w:rsid w:val="00BC1A72"/>
    <w:rsid w:val="00BC3CC8"/>
    <w:rsid w:val="00BC3EFC"/>
    <w:rsid w:val="00BC4ECF"/>
    <w:rsid w:val="00BC5E64"/>
    <w:rsid w:val="00BD1749"/>
    <w:rsid w:val="00BE08C3"/>
    <w:rsid w:val="00BE1FE7"/>
    <w:rsid w:val="00C02E0D"/>
    <w:rsid w:val="00C0639D"/>
    <w:rsid w:val="00C1149B"/>
    <w:rsid w:val="00C1534D"/>
    <w:rsid w:val="00C51712"/>
    <w:rsid w:val="00C551A7"/>
    <w:rsid w:val="00C6642F"/>
    <w:rsid w:val="00C6681D"/>
    <w:rsid w:val="00C7162D"/>
    <w:rsid w:val="00C72281"/>
    <w:rsid w:val="00C72BFD"/>
    <w:rsid w:val="00C847E8"/>
    <w:rsid w:val="00C87A0C"/>
    <w:rsid w:val="00C90711"/>
    <w:rsid w:val="00CC2F41"/>
    <w:rsid w:val="00CD04F4"/>
    <w:rsid w:val="00CE35B1"/>
    <w:rsid w:val="00CE4BBA"/>
    <w:rsid w:val="00D04BAF"/>
    <w:rsid w:val="00D06652"/>
    <w:rsid w:val="00D07688"/>
    <w:rsid w:val="00D57786"/>
    <w:rsid w:val="00D60641"/>
    <w:rsid w:val="00D72D94"/>
    <w:rsid w:val="00D72F34"/>
    <w:rsid w:val="00D937AF"/>
    <w:rsid w:val="00DA01E5"/>
    <w:rsid w:val="00DA3804"/>
    <w:rsid w:val="00DA5100"/>
    <w:rsid w:val="00DA51B2"/>
    <w:rsid w:val="00DA543E"/>
    <w:rsid w:val="00DD1177"/>
    <w:rsid w:val="00DE1AC4"/>
    <w:rsid w:val="00DE3DE6"/>
    <w:rsid w:val="00E15042"/>
    <w:rsid w:val="00E66817"/>
    <w:rsid w:val="00EA78E0"/>
    <w:rsid w:val="00EC42FC"/>
    <w:rsid w:val="00EC6905"/>
    <w:rsid w:val="00EE0E5E"/>
    <w:rsid w:val="00F01A36"/>
    <w:rsid w:val="00F06449"/>
    <w:rsid w:val="00F06C45"/>
    <w:rsid w:val="00F758C1"/>
    <w:rsid w:val="00F8003F"/>
    <w:rsid w:val="00F867A0"/>
    <w:rsid w:val="00FA74D7"/>
    <w:rsid w:val="00FA7649"/>
    <w:rsid w:val="00FB475A"/>
    <w:rsid w:val="00FC240A"/>
    <w:rsid w:val="00FD1A68"/>
    <w:rsid w:val="00FD7037"/>
    <w:rsid w:val="00FE4996"/>
    <w:rsid w:val="0639417F"/>
    <w:rsid w:val="0863749E"/>
    <w:rsid w:val="08BA7D7B"/>
    <w:rsid w:val="0D1850FD"/>
    <w:rsid w:val="16375726"/>
    <w:rsid w:val="30554936"/>
    <w:rsid w:val="36F03BF8"/>
    <w:rsid w:val="41284747"/>
    <w:rsid w:val="45C4004E"/>
    <w:rsid w:val="465C2032"/>
    <w:rsid w:val="477C19DC"/>
    <w:rsid w:val="4BEC5D27"/>
    <w:rsid w:val="4C911408"/>
    <w:rsid w:val="54483F0E"/>
    <w:rsid w:val="68F073E0"/>
    <w:rsid w:val="74B25D02"/>
    <w:rsid w:val="77465C26"/>
    <w:rsid w:val="7C2A7545"/>
    <w:rsid w:val="7CAA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3"/>
    <w:qFormat/>
    <w:uiPriority w:val="0"/>
    <w:pPr>
      <w:keepNext/>
      <w:keepLines/>
      <w:spacing w:line="360" w:lineRule="auto"/>
      <w:outlineLvl w:val="0"/>
    </w:pPr>
    <w:rPr>
      <w:rFonts w:ascii="Times New Roman" w:hAnsi="Times New Roman"/>
      <w:b/>
      <w:bCs/>
      <w:kern w:val="44"/>
      <w:sz w:val="32"/>
      <w:szCs w:val="44"/>
    </w:rPr>
  </w:style>
  <w:style w:type="paragraph" w:styleId="5">
    <w:name w:val="heading 2"/>
    <w:basedOn w:val="1"/>
    <w:next w:val="1"/>
    <w:link w:val="48"/>
    <w:qFormat/>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24"/>
    <w:qFormat/>
    <w:uiPriority w:val="0"/>
    <w:pPr>
      <w:keepNext/>
      <w:keepLines/>
      <w:spacing w:line="360" w:lineRule="auto"/>
      <w:outlineLvl w:val="2"/>
    </w:pPr>
    <w:rPr>
      <w:rFonts w:ascii="Times New Roman" w:hAnsi="Times New Roman"/>
      <w:b/>
      <w:bCs/>
      <w:sz w:val="24"/>
      <w:szCs w:val="32"/>
    </w:rPr>
  </w:style>
  <w:style w:type="paragraph" w:styleId="7">
    <w:name w:val="heading 4"/>
    <w:basedOn w:val="1"/>
    <w:next w:val="1"/>
    <w:link w:val="25"/>
    <w:qFormat/>
    <w:uiPriority w:val="0"/>
    <w:pPr>
      <w:keepNext/>
      <w:keepLines/>
      <w:spacing w:line="360" w:lineRule="auto"/>
      <w:outlineLvl w:val="3"/>
    </w:pPr>
    <w:rPr>
      <w:rFonts w:ascii="Arial" w:hAnsi="Arial"/>
      <w:b/>
      <w:bCs/>
      <w:szCs w:val="28"/>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pPr>
    <w:rPr>
      <w:rFonts w:ascii="Calibri" w:hAnsi="Calibri" w:eastAsia="宋体" w:cs="Times New Roman"/>
      <w:szCs w:val="22"/>
    </w:rPr>
  </w:style>
  <w:style w:type="paragraph" w:styleId="3">
    <w:name w:val="Body Text Indent"/>
    <w:basedOn w:val="1"/>
    <w:link w:val="40"/>
    <w:qFormat/>
    <w:uiPriority w:val="0"/>
    <w:pPr>
      <w:spacing w:line="400" w:lineRule="exact"/>
      <w:ind w:firstLine="480" w:firstLineChars="200"/>
    </w:pPr>
    <w:rPr>
      <w:rFonts w:ascii="Times New Roman" w:hAnsi="Times New Roman"/>
      <w:sz w:val="24"/>
      <w:szCs w:val="24"/>
    </w:rPr>
  </w:style>
  <w:style w:type="paragraph" w:styleId="8">
    <w:name w:val="Document Map"/>
    <w:basedOn w:val="1"/>
    <w:link w:val="41"/>
    <w:semiHidden/>
    <w:qFormat/>
    <w:uiPriority w:val="0"/>
    <w:pPr>
      <w:shd w:val="clear" w:color="auto" w:fill="000080"/>
    </w:pPr>
    <w:rPr>
      <w:rFonts w:ascii="Times New Roman" w:hAnsi="Times New Roman"/>
      <w:szCs w:val="24"/>
    </w:rPr>
  </w:style>
  <w:style w:type="paragraph" w:styleId="9">
    <w:name w:val="Body Text"/>
    <w:basedOn w:val="1"/>
    <w:link w:val="42"/>
    <w:qFormat/>
    <w:uiPriority w:val="0"/>
    <w:pPr>
      <w:spacing w:after="120"/>
    </w:pPr>
    <w:rPr>
      <w:rFonts w:asciiTheme="minorHAnsi" w:hAnsiTheme="minorHAnsi" w:eastAsiaTheme="minorEastAsia" w:cstheme="minorBidi"/>
      <w:szCs w:val="24"/>
    </w:rPr>
  </w:style>
  <w:style w:type="paragraph" w:styleId="10">
    <w:name w:val="toc 3"/>
    <w:basedOn w:val="1"/>
    <w:next w:val="1"/>
    <w:qFormat/>
    <w:uiPriority w:val="39"/>
    <w:pPr>
      <w:ind w:left="840" w:leftChars="400"/>
    </w:pPr>
    <w:rPr>
      <w:rFonts w:ascii="Times New Roman" w:hAnsi="Times New Roman"/>
      <w:szCs w:val="24"/>
    </w:rPr>
  </w:style>
  <w:style w:type="paragraph" w:styleId="11">
    <w:name w:val="Plain Text"/>
    <w:basedOn w:val="1"/>
    <w:link w:val="36"/>
    <w:qFormat/>
    <w:uiPriority w:val="99"/>
    <w:pPr>
      <w:widowControl/>
      <w:jc w:val="left"/>
    </w:pPr>
    <w:rPr>
      <w:rFonts w:ascii="宋体" w:hAnsi="Courier New" w:cs="Courier New" w:eastAsiaTheme="minorEastAsia"/>
      <w:szCs w:val="21"/>
    </w:rPr>
  </w:style>
  <w:style w:type="paragraph" w:styleId="12">
    <w:name w:val="Date"/>
    <w:basedOn w:val="1"/>
    <w:next w:val="1"/>
    <w:link w:val="35"/>
    <w:qFormat/>
    <w:uiPriority w:val="0"/>
    <w:pPr>
      <w:ind w:left="100" w:leftChars="2500"/>
    </w:pPr>
    <w:rPr>
      <w:rFonts w:ascii="Times New Roman" w:hAnsi="Times New Roman"/>
      <w:szCs w:val="24"/>
    </w:rPr>
  </w:style>
  <w:style w:type="paragraph" w:styleId="13">
    <w:name w:val="Balloon Text"/>
    <w:basedOn w:val="1"/>
    <w:link w:val="37"/>
    <w:semiHidden/>
    <w:qFormat/>
    <w:uiPriority w:val="0"/>
    <w:rPr>
      <w:rFonts w:ascii="Times New Roman" w:hAnsi="Times New Roman"/>
      <w:sz w:val="18"/>
      <w:szCs w:val="18"/>
    </w:rPr>
  </w:style>
  <w:style w:type="paragraph" w:styleId="14">
    <w:name w:val="footer"/>
    <w:basedOn w:val="1"/>
    <w:link w:val="39"/>
    <w:qFormat/>
    <w:uiPriority w:val="0"/>
    <w:pPr>
      <w:tabs>
        <w:tab w:val="center" w:pos="4153"/>
        <w:tab w:val="right" w:pos="8306"/>
      </w:tabs>
      <w:snapToGrid w:val="0"/>
      <w:jc w:val="left"/>
    </w:pPr>
    <w:rPr>
      <w:rFonts w:ascii="Times New Roman" w:hAnsi="Times New Roman"/>
      <w:sz w:val="18"/>
      <w:szCs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rPr>
      <w:rFonts w:ascii="Times New Roman" w:hAnsi="Times New Roman"/>
      <w:szCs w:val="24"/>
    </w:rPr>
  </w:style>
  <w:style w:type="paragraph" w:styleId="17">
    <w:name w:val="toc 2"/>
    <w:basedOn w:val="1"/>
    <w:next w:val="1"/>
    <w:unhideWhenUsed/>
    <w:qFormat/>
    <w:uiPriority w:val="39"/>
    <w:pPr>
      <w:ind w:left="420" w:leftChars="200"/>
    </w:pPr>
  </w:style>
  <w:style w:type="character" w:styleId="20">
    <w:name w:val="page number"/>
    <w:basedOn w:val="19"/>
    <w:qFormat/>
    <w:uiPriority w:val="0"/>
  </w:style>
  <w:style w:type="character" w:styleId="21">
    <w:name w:val="Emphasis"/>
    <w:qFormat/>
    <w:uiPriority w:val="0"/>
    <w:rPr>
      <w:color w:val="CC0000"/>
      <w:sz w:val="24"/>
      <w:szCs w:val="24"/>
    </w:rPr>
  </w:style>
  <w:style w:type="character" w:styleId="22">
    <w:name w:val="Hyperlink"/>
    <w:qFormat/>
    <w:uiPriority w:val="99"/>
    <w:rPr>
      <w:color w:val="0000FF"/>
      <w:u w:val="single"/>
    </w:rPr>
  </w:style>
  <w:style w:type="character" w:customStyle="1" w:styleId="23">
    <w:name w:val="标题 1 Char"/>
    <w:basedOn w:val="19"/>
    <w:link w:val="4"/>
    <w:qFormat/>
    <w:uiPriority w:val="0"/>
    <w:rPr>
      <w:rFonts w:ascii="Times New Roman" w:hAnsi="Times New Roman" w:eastAsia="宋体" w:cs="Times New Roman"/>
      <w:b/>
      <w:bCs/>
      <w:kern w:val="44"/>
      <w:sz w:val="32"/>
      <w:szCs w:val="44"/>
    </w:rPr>
  </w:style>
  <w:style w:type="character" w:customStyle="1" w:styleId="24">
    <w:name w:val="标题 3 Char"/>
    <w:basedOn w:val="19"/>
    <w:link w:val="6"/>
    <w:qFormat/>
    <w:uiPriority w:val="0"/>
    <w:rPr>
      <w:rFonts w:ascii="Times New Roman" w:hAnsi="Times New Roman" w:eastAsia="宋体" w:cs="Times New Roman"/>
      <w:b/>
      <w:bCs/>
      <w:sz w:val="24"/>
      <w:szCs w:val="32"/>
    </w:rPr>
  </w:style>
  <w:style w:type="character" w:customStyle="1" w:styleId="25">
    <w:name w:val="标题 4 Char"/>
    <w:basedOn w:val="19"/>
    <w:link w:val="7"/>
    <w:qFormat/>
    <w:uiPriority w:val="0"/>
    <w:rPr>
      <w:rFonts w:ascii="Arial" w:hAnsi="Arial" w:eastAsia="宋体" w:cs="Times New Roman"/>
      <w:b/>
      <w:bCs/>
      <w:szCs w:val="28"/>
    </w:rPr>
  </w:style>
  <w:style w:type="character" w:customStyle="1" w:styleId="26">
    <w:name w:val="纯文本 Char"/>
    <w:link w:val="11"/>
    <w:qFormat/>
    <w:uiPriority w:val="0"/>
    <w:rPr>
      <w:rFonts w:ascii="宋体" w:hAnsi="Courier New" w:cs="Courier New"/>
      <w:szCs w:val="21"/>
    </w:rPr>
  </w:style>
  <w:style w:type="character" w:customStyle="1" w:styleId="27">
    <w:name w:val="Char Char3"/>
    <w:qFormat/>
    <w:uiPriority w:val="0"/>
    <w:rPr>
      <w:rFonts w:eastAsia="宋体"/>
      <w:b/>
      <w:bCs/>
      <w:kern w:val="2"/>
      <w:sz w:val="24"/>
      <w:szCs w:val="32"/>
      <w:lang w:val="en-US" w:eastAsia="zh-CN" w:bidi="ar-SA"/>
    </w:rPr>
  </w:style>
  <w:style w:type="character" w:customStyle="1" w:styleId="28">
    <w:name w:val="样式 样式 正文A + 加粗 + 首行缩进:  2 字符 Char"/>
    <w:link w:val="29"/>
    <w:qFormat/>
    <w:uiPriority w:val="0"/>
    <w:rPr>
      <w:rFonts w:ascii="Arial" w:hAnsi="Arial" w:eastAsia="方正黑体简体" w:cs="宋体"/>
      <w:b/>
      <w:bCs/>
      <w:sz w:val="24"/>
    </w:rPr>
  </w:style>
  <w:style w:type="paragraph" w:customStyle="1" w:styleId="29">
    <w:name w:val="样式 样式 正文A + 加粗 + 首行缩进:  2 字符"/>
    <w:basedOn w:val="1"/>
    <w:link w:val="28"/>
    <w:qFormat/>
    <w:uiPriority w:val="0"/>
    <w:pPr>
      <w:adjustRightInd w:val="0"/>
      <w:snapToGrid w:val="0"/>
      <w:spacing w:line="300" w:lineRule="auto"/>
      <w:ind w:firstLine="480" w:firstLineChars="200"/>
    </w:pPr>
    <w:rPr>
      <w:rFonts w:ascii="Arial" w:hAnsi="Arial" w:eastAsia="方正黑体简体" w:cs="宋体"/>
      <w:b/>
      <w:bCs/>
      <w:sz w:val="24"/>
    </w:rPr>
  </w:style>
  <w:style w:type="character" w:customStyle="1" w:styleId="30">
    <w:name w:val="正文2 Char"/>
    <w:link w:val="31"/>
    <w:qFormat/>
    <w:uiPriority w:val="0"/>
    <w:rPr>
      <w:snapToGrid w:val="0"/>
      <w:spacing w:val="30"/>
      <w:sz w:val="24"/>
      <w:szCs w:val="24"/>
      <w:lang w:val="en-GB"/>
    </w:rPr>
  </w:style>
  <w:style w:type="paragraph" w:customStyle="1" w:styleId="31">
    <w:name w:val="正文2"/>
    <w:basedOn w:val="1"/>
    <w:link w:val="30"/>
    <w:qFormat/>
    <w:uiPriority w:val="0"/>
    <w:pPr>
      <w:keepLines/>
      <w:widowControl/>
      <w:adjustRightInd w:val="0"/>
      <w:snapToGrid w:val="0"/>
      <w:spacing w:beforeLines="70" w:afterLines="70" w:line="360" w:lineRule="exact"/>
      <w:ind w:left="1247"/>
      <w:textAlignment w:val="baseline"/>
    </w:pPr>
    <w:rPr>
      <w:rFonts w:asciiTheme="minorHAnsi" w:hAnsiTheme="minorHAnsi" w:eastAsiaTheme="minorEastAsia" w:cstheme="minorBidi"/>
      <w:snapToGrid w:val="0"/>
      <w:spacing w:val="30"/>
      <w:sz w:val="24"/>
      <w:szCs w:val="24"/>
      <w:lang w:val="en-GB"/>
    </w:rPr>
  </w:style>
  <w:style w:type="character" w:customStyle="1" w:styleId="32">
    <w:name w:val="正文文本 Char"/>
    <w:link w:val="9"/>
    <w:qFormat/>
    <w:uiPriority w:val="0"/>
    <w:rPr>
      <w:szCs w:val="24"/>
    </w:rPr>
  </w:style>
  <w:style w:type="character" w:customStyle="1" w:styleId="33">
    <w:name w:val="正文A Char"/>
    <w:link w:val="34"/>
    <w:qFormat/>
    <w:uiPriority w:val="0"/>
    <w:rPr>
      <w:rFonts w:ascii="Arial" w:hAnsi="Arial" w:eastAsia="方正宋三简体"/>
      <w:sz w:val="24"/>
      <w:szCs w:val="21"/>
    </w:rPr>
  </w:style>
  <w:style w:type="paragraph" w:customStyle="1" w:styleId="34">
    <w:name w:val="正文A"/>
    <w:basedOn w:val="1"/>
    <w:link w:val="33"/>
    <w:qFormat/>
    <w:uiPriority w:val="0"/>
    <w:pPr>
      <w:adjustRightInd w:val="0"/>
      <w:snapToGrid w:val="0"/>
      <w:spacing w:line="300" w:lineRule="auto"/>
      <w:ind w:firstLine="482" w:firstLineChars="200"/>
    </w:pPr>
    <w:rPr>
      <w:rFonts w:ascii="Arial" w:hAnsi="Arial" w:eastAsia="方正宋三简体" w:cstheme="minorBidi"/>
      <w:sz w:val="24"/>
      <w:szCs w:val="21"/>
    </w:rPr>
  </w:style>
  <w:style w:type="character" w:customStyle="1" w:styleId="35">
    <w:name w:val="日期 Char"/>
    <w:basedOn w:val="19"/>
    <w:link w:val="12"/>
    <w:qFormat/>
    <w:uiPriority w:val="0"/>
    <w:rPr>
      <w:rFonts w:ascii="Times New Roman" w:hAnsi="Times New Roman" w:eastAsia="宋体" w:cs="Times New Roman"/>
      <w:szCs w:val="24"/>
    </w:rPr>
  </w:style>
  <w:style w:type="character" w:customStyle="1" w:styleId="36">
    <w:name w:val="纯文本 Char1"/>
    <w:basedOn w:val="19"/>
    <w:link w:val="11"/>
    <w:qFormat/>
    <w:uiPriority w:val="99"/>
    <w:rPr>
      <w:rFonts w:ascii="宋体" w:hAnsi="Courier New" w:eastAsia="宋体" w:cs="Courier New"/>
      <w:szCs w:val="21"/>
    </w:rPr>
  </w:style>
  <w:style w:type="character" w:customStyle="1" w:styleId="37">
    <w:name w:val="批注框文本 Char"/>
    <w:basedOn w:val="19"/>
    <w:link w:val="13"/>
    <w:semiHidden/>
    <w:qFormat/>
    <w:uiPriority w:val="0"/>
    <w:rPr>
      <w:rFonts w:ascii="Times New Roman" w:hAnsi="Times New Roman" w:eastAsia="宋体" w:cs="Times New Roman"/>
      <w:sz w:val="18"/>
      <w:szCs w:val="18"/>
    </w:rPr>
  </w:style>
  <w:style w:type="character" w:customStyle="1" w:styleId="38">
    <w:name w:val="页眉 Char"/>
    <w:basedOn w:val="19"/>
    <w:link w:val="15"/>
    <w:qFormat/>
    <w:uiPriority w:val="0"/>
    <w:rPr>
      <w:rFonts w:ascii="Times New Roman" w:hAnsi="Times New Roman" w:eastAsia="宋体" w:cs="Times New Roman"/>
      <w:sz w:val="18"/>
      <w:szCs w:val="18"/>
    </w:rPr>
  </w:style>
  <w:style w:type="character" w:customStyle="1" w:styleId="39">
    <w:name w:val="页脚 Char"/>
    <w:basedOn w:val="19"/>
    <w:link w:val="14"/>
    <w:qFormat/>
    <w:uiPriority w:val="0"/>
    <w:rPr>
      <w:rFonts w:ascii="Times New Roman" w:hAnsi="Times New Roman" w:eastAsia="宋体" w:cs="Times New Roman"/>
      <w:sz w:val="18"/>
      <w:szCs w:val="18"/>
    </w:rPr>
  </w:style>
  <w:style w:type="character" w:customStyle="1" w:styleId="40">
    <w:name w:val="正文文本缩进 Char"/>
    <w:basedOn w:val="19"/>
    <w:link w:val="3"/>
    <w:qFormat/>
    <w:uiPriority w:val="0"/>
    <w:rPr>
      <w:rFonts w:ascii="Times New Roman" w:hAnsi="Times New Roman" w:eastAsia="宋体" w:cs="Times New Roman"/>
      <w:sz w:val="24"/>
      <w:szCs w:val="24"/>
    </w:rPr>
  </w:style>
  <w:style w:type="character" w:customStyle="1" w:styleId="41">
    <w:name w:val="文档结构图 Char"/>
    <w:basedOn w:val="19"/>
    <w:link w:val="8"/>
    <w:semiHidden/>
    <w:qFormat/>
    <w:uiPriority w:val="0"/>
    <w:rPr>
      <w:rFonts w:ascii="Times New Roman" w:hAnsi="Times New Roman" w:eastAsia="宋体" w:cs="Times New Roman"/>
      <w:szCs w:val="24"/>
      <w:shd w:val="clear" w:color="auto" w:fill="000080"/>
    </w:rPr>
  </w:style>
  <w:style w:type="character" w:customStyle="1" w:styleId="42">
    <w:name w:val="正文文本 Char1"/>
    <w:basedOn w:val="19"/>
    <w:link w:val="9"/>
    <w:semiHidden/>
    <w:qFormat/>
    <w:uiPriority w:val="99"/>
    <w:rPr>
      <w:rFonts w:ascii="Calibri" w:hAnsi="Calibri" w:eastAsia="宋体" w:cs="Times New Roman"/>
    </w:rPr>
  </w:style>
  <w:style w:type="paragraph" w:customStyle="1" w:styleId="43">
    <w:name w:val="Char Char Char Char Char Char Char Char"/>
    <w:basedOn w:val="1"/>
    <w:qFormat/>
    <w:uiPriority w:val="0"/>
    <w:pPr>
      <w:tabs>
        <w:tab w:val="left" w:pos="360"/>
      </w:tabs>
    </w:pPr>
    <w:rPr>
      <w:rFonts w:ascii="Times New Roman" w:hAnsi="Times New Roman"/>
      <w:sz w:val="28"/>
      <w:szCs w:val="28"/>
      <w:lang w:val="en-GB"/>
    </w:rPr>
  </w:style>
  <w:style w:type="paragraph" w:customStyle="1" w:styleId="44">
    <w:name w:val="e编号1"/>
    <w:basedOn w:val="1"/>
    <w:qFormat/>
    <w:uiPriority w:val="0"/>
    <w:pPr>
      <w:keepLines/>
      <w:widowControl/>
      <w:overflowPunct w:val="0"/>
      <w:autoSpaceDE w:val="0"/>
      <w:autoSpaceDN w:val="0"/>
      <w:snapToGrid w:val="0"/>
      <w:spacing w:before="40" w:after="40" w:line="288" w:lineRule="auto"/>
      <w:jc w:val="left"/>
    </w:pPr>
    <w:rPr>
      <w:rFonts w:ascii="Times New Roman" w:hAnsi="Times New Roman"/>
      <w:snapToGrid w:val="0"/>
      <w:kern w:val="0"/>
      <w:sz w:val="24"/>
      <w:szCs w:val="24"/>
      <w:lang w:val="en-GB"/>
    </w:rPr>
  </w:style>
  <w:style w:type="paragraph" w:customStyle="1" w:styleId="45">
    <w:name w:val="Revision"/>
    <w:hidden/>
    <w:semiHidden/>
    <w:qFormat/>
    <w:uiPriority w:val="99"/>
    <w:rPr>
      <w:rFonts w:ascii="Calibri" w:hAnsi="Calibri" w:eastAsia="宋体" w:cs="Times New Roman"/>
      <w:kern w:val="2"/>
      <w:sz w:val="21"/>
      <w:szCs w:val="22"/>
      <w:lang w:val="en-US" w:eastAsia="zh-CN" w:bidi="ar-SA"/>
    </w:rPr>
  </w:style>
  <w:style w:type="character" w:customStyle="1" w:styleId="46">
    <w:name w:val="fontstyle01"/>
    <w:basedOn w:val="19"/>
    <w:qFormat/>
    <w:uiPriority w:val="0"/>
    <w:rPr>
      <w:rFonts w:hint="eastAsia" w:ascii="宋体" w:hAnsi="宋体" w:eastAsia="宋体"/>
      <w:color w:val="000000"/>
      <w:sz w:val="22"/>
      <w:szCs w:val="22"/>
    </w:rPr>
  </w:style>
  <w:style w:type="paragraph" w:customStyle="1" w:styleId="47">
    <w:name w:val="List Paragraph"/>
    <w:basedOn w:val="1"/>
    <w:qFormat/>
    <w:uiPriority w:val="34"/>
    <w:pPr>
      <w:ind w:firstLine="420" w:firstLineChars="200"/>
    </w:pPr>
  </w:style>
  <w:style w:type="character" w:customStyle="1" w:styleId="48">
    <w:name w:val="标题 2 Char"/>
    <w:basedOn w:val="19"/>
    <w:link w:val="5"/>
    <w:qFormat/>
    <w:uiPriority w:val="0"/>
    <w:rPr>
      <w:rFonts w:ascii="Calibri Light" w:hAnsi="Calibri Light" w:eastAsia="宋体" w:cs="Times New Roman"/>
      <w:b/>
      <w:bCs/>
      <w:sz w:val="32"/>
      <w:szCs w:val="32"/>
    </w:rPr>
  </w:style>
  <w:style w:type="character" w:customStyle="1" w:styleId="49">
    <w:name w:val="纯文本 Char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6541</Words>
  <Characters>37285</Characters>
  <Lines>310</Lines>
  <Paragraphs>87</Paragraphs>
  <TotalTime>23</TotalTime>
  <ScaleCrop>false</ScaleCrop>
  <LinksUpToDate>false</LinksUpToDate>
  <CharactersWithSpaces>43739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2020-08-27T02:13:00Z</dcterms:created>
  <dc:creator>浙江华杰工程咨询有限公司</dc:creator>
  <cp:lastModifiedBy>浙江安泰工程咨询有限公司</cp:lastModifiedBy>
  <cp:lastPrinted>2020-06-08T03:10:00Z</cp:lastPrinted>
  <dcterms:modified xsi:type="dcterms:W3CDTF">2021-04-12T03:13:37Z</dcterms:modified>
  <dc:title>金华市婺城区安居工程城中村改造项目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F9570DC50D674EE793588072C4BB61FA</vt:lpwstr>
  </property>
</Properties>
</file>