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w w:val="90"/>
          <w:sz w:val="44"/>
          <w:szCs w:val="44"/>
        </w:rPr>
      </w:pPr>
      <w:r>
        <w:rPr>
          <w:rFonts w:hint="eastAsia" w:ascii="黑体" w:hAnsi="黑体" w:eastAsia="黑体" w:cs="黑体"/>
          <w:color w:val="auto"/>
          <w:w w:val="90"/>
          <w:sz w:val="44"/>
          <w:szCs w:val="44"/>
          <w:lang w:eastAsia="zh-CN"/>
        </w:rPr>
        <w:t>金华市</w:t>
      </w:r>
      <w:r>
        <w:rPr>
          <w:rFonts w:hint="eastAsia" w:ascii="黑体" w:hAnsi="黑体" w:eastAsia="黑体" w:cs="黑体"/>
          <w:color w:val="auto"/>
          <w:w w:val="90"/>
          <w:sz w:val="44"/>
          <w:szCs w:val="44"/>
        </w:rPr>
        <w:t>婺城区农业标准地改革试点实施方案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进一步深化农业资源要素整合，释放农业发展内生动能，加快“农业双强”推进进程，实现市场有效、政府有为、主体有利“三者”的有机统一，根据《浙江省人民政府办公厅关于推进农业标准地改革的指导意见》浙政办发〔2022〕41号》和《婺城区加快现代农业高质量发展若干政策的意见》（婺区政发〔2022〕16号）等文件精神，结合婺城实际，特制定本工作方案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基本情况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textAlignment w:val="auto"/>
        <w:rPr>
          <w:rFonts w:ascii="仿宋_GB2312" w:hAnsi="仿宋" w:eastAsia="仿宋_GB2312" w:cs="Times New Roman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金华市婺城区位于浙江省中西部，地处长三角经济圈南翼，是金华地区的粮食主产区</w:t>
      </w:r>
      <w:r>
        <w:rPr>
          <w:rFonts w:ascii="仿宋_GB2312" w:hAnsi="仿宋" w:eastAsia="仿宋_GB2312" w:cs="Times New Roman"/>
          <w:color w:val="auto"/>
          <w:kern w:val="2"/>
          <w:sz w:val="32"/>
          <w:szCs w:val="32"/>
        </w:rPr>
        <w:t>，辖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6</w:t>
      </w:r>
      <w:r>
        <w:rPr>
          <w:rFonts w:ascii="仿宋_GB2312" w:hAnsi="仿宋" w:eastAsia="仿宋_GB2312" w:cs="Times New Roman"/>
          <w:color w:val="auto"/>
          <w:kern w:val="2"/>
          <w:sz w:val="32"/>
          <w:szCs w:val="32"/>
        </w:rPr>
        <w:t>镇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7</w:t>
      </w:r>
      <w:r>
        <w:rPr>
          <w:rFonts w:ascii="仿宋_GB2312" w:hAnsi="仿宋" w:eastAsia="仿宋_GB2312" w:cs="Times New Roman"/>
          <w:color w:val="auto"/>
          <w:kern w:val="2"/>
          <w:sz w:val="32"/>
          <w:szCs w:val="32"/>
        </w:rPr>
        <w:t>乡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5</w:t>
      </w:r>
      <w:r>
        <w:rPr>
          <w:rFonts w:ascii="仿宋_GB2312" w:hAnsi="仿宋" w:eastAsia="仿宋_GB2312" w:cs="Times New Roman"/>
          <w:color w:val="auto"/>
          <w:kern w:val="2"/>
          <w:sz w:val="32"/>
          <w:szCs w:val="32"/>
        </w:rPr>
        <w:t>街道，总面积1387.88平方公里，其中城区面积43平方公里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，林地面积126万亩、耕地面积19万亩、园地面积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  <w:lang w:val="en-US" w:eastAsia="zh-CN"/>
        </w:rPr>
        <w:t>2.12</w:t>
      </w:r>
      <w:r>
        <w:rPr>
          <w:rFonts w:hint="eastAsia" w:ascii="仿宋_GB2312" w:hAnsi="仿宋" w:eastAsia="仿宋_GB2312" w:cs="Times New Roman"/>
          <w:color w:val="auto"/>
          <w:kern w:val="2"/>
          <w:sz w:val="32"/>
          <w:szCs w:val="32"/>
        </w:rPr>
        <w:t>万亩，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农户10.25万户，户均耕地1.85亩。</w:t>
      </w:r>
      <w:r>
        <w:rPr>
          <w:rFonts w:ascii="仿宋_GB2312" w:hAnsi="仿宋" w:eastAsia="仿宋_GB2312" w:cs="Times New Roman"/>
          <w:color w:val="auto"/>
          <w:kern w:val="2"/>
          <w:sz w:val="32"/>
          <w:szCs w:val="32"/>
        </w:rPr>
        <w:t>婺城区农业产业化成效显著，被命名为"中国茶花之乡"、"中国桂花之乡"、"中国苗木盆景之乡"、"中国南方奶牛和乳品之乡"。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2019年，婺城区为破解土地碎片化、分散化，以及农业现代化、机械化水平不高的问题，启动了农业“标准地”改革，并开展了以下工作：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一是加强顶层设计，健全政策支撑。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婺城区对全区土地资源进行全面调查，编制了《婺城区农业生产力布局规划》，出台了《婺城区人民政府关于支持现代农业发展的若干政策意见》、《婺城区农业“标准地”暂行管理办法》和《2020-2022年婺城区粮食生产扶持政策》等保障性和扶持性政策，区财政每年安排专项资金3000万元用于支持现代农业发展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二是明确流转模式，集聚土地资源。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形成“农户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村级组织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乡镇（区）农业开发公司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经营主体”的流转模式，鼓励整村、整组、长期连片规模流转。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三是优化招商服务，简化审批流程。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建国有农业开发公司，具体负责农业招商；将设施农用地审批权限下放至乡镇（街道），在符合申报条件的基础上，只需签订承诺书、缴纳复垦保证金，由乡镇同意后送自然规划局备案即可，简化审批流程80%以上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四是建立保障机制，实现风险兜底。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在全省率先推出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“标准地”履约保证保险，有效保障经营风险带来的经营主体、村集体和农户三方权益。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婺城区农业“标准地”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改革创新举措被评为“2019年民生示范工程”，2020年在省、市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大会上做典型交流，且获得市委陈龙书记的批示肯定，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改革经验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刊登于《改革者》，2020年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评为婺城区县域治理现代化“最佳实践”首位项目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2022年，在前三年的改革基础上，农业“标准地”改革已实现全区全覆盖，累计撬动社会资本总投资10亿元以上。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二、总体要求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围绕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乡村振兴战略，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紧扣农业农村优先发展总方针，通过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优化农业生产力布局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优化农业土地资源利用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优化农业投资发展环境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和创新土地管理体制机制，努力实现土地集约化、农业机械化、产业现代化目标，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为全省提供可复制可推广的农业“标准地”改革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模式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推动农业高质量发展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 坚持深化改革、积极推进的原则。</w:t>
      </w:r>
      <w:r>
        <w:rPr>
          <w:rFonts w:eastAsia="仿宋_GB2312"/>
          <w:color w:val="auto"/>
          <w:kern w:val="0"/>
          <w:sz w:val="32"/>
          <w:szCs w:val="32"/>
        </w:rPr>
        <w:t>根据有关法律法规对不同类型土地生产管控要求和当地实际，实事求是，使植入产业合法合规，确保项目可持续健康稳定发展。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 坚持统筹兼顾、多方共赢的原则。农业“标准地”改革要遵循农民意愿，严格依法依规开展农业土地流转和农业招商工作，要兼顾农民、经营主体、村集体组织各方利益，做到农民有收益、主体有效益、集体增实力，实现共赢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3. 坚持节约集约、充分利用的原则。农业“标准地”改革要大力倡导生态循环理念，合理布局农业生产要素，采用科学合理的生产模式，引进先进适用农业科技，提高土地资源利用率和产出率，促进农业产业转型升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4.坚持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严控强管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、规范发展的原则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。严把产业准入关，认真做好履约验收、综合评估和日常监管等工作，采取存量认定提升和增量引进选优相结合方法，多措并举、多管齐下，确保引进项目高质量和经营行为规范化。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围绕粮油、果蔬、茶叶、花卉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中药材、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畜牧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婺城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优势特色产业，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优化生产力布局为抓手，破农业产业“集聚难”；以土地流转为依托，破生产要素“集约难”；以提升服务为核心，破流地双方“信任难”；以主体引进为方向，破农业产业“无人难”；以亩均效益最大化为目标，破农民增收“持续难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立足婺城实际，分三类推进农业“标准地”改革：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一是提升型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“标准地”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前期规模流转已投产的产业基地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按照产业需求补齐基础要素短板、提升设施标准，纳入农业“标准地”管理服务。二是新建型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“标准地”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已建或在建的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高标准农田、农田宜机化改造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土地整治等项目的土地，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完善土地流转手续、一体谋划配套设施用地或建设用地等要素，按农业“标准地”流程进行招商运营。三是储备型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“标准地”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。以村为单位开展小田并大田、撂荒地整治、宜机化改造工作，形成一定规模的农业“标准地”储备量。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力争到2024年6月底前，提升农业“标准地”3.5万亩，新建农业“标准地”0.5万亩，储备农业“标准地”1万亩，认定农业“标准地”高质量示范基地（项目）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个以上，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土地流转履约保证保险主体覆盖面50%以上，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val="en-US" w:eastAsia="zh-CN"/>
        </w:rPr>
        <w:t>规模农业社会化服务组织达5家以上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农业“标准地”打造成“功能布局科学、基础设施完善、资源要素集聚、设施装备精良、农艺技术先进、田园整洁优美、产品优质安全”的农业高质量发展示范区，粮食生产功能区“非粮化”现象得到有效遏制，粮食生产稳定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三、试点内容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优化产业布局，做大做强区域特色产业。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在确保粮食功能区面积不减少的前提下，在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新修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编《婺城区粮食功能区建设规划》的基础上，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综合考虑土地资源、水资源、气候资源以及产业发展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基础等因素，按照宜粮则粮、宜蔬则蔬、宜林则林的原则，重新修订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《婺城区农业生产力布局规划》，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发挥规划引领作用，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为农业“标准地”产业定位提供依据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，实现产业集聚化、规模化，做大做强富硒米、箬阳龙珍茶、金华佛手、两头乌等“婺城拾珍”农产品品牌。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明确两项标准，提升完善生产要素保障。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供给端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在符合土地用途管制的前提下，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根据区域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的比较优势以及气候、水文、地理、环境等条件，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结合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不同产业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求，明确土地连片流转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面积、年限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、农田基础设施、产业发展定位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以及政策处理等净地标准具体要求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，有条件的镇、村，可匹配与产业需求相关的设施设备、设施用房等，实现经营主体“拎包入住”；在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需求端，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提质增效为导向，根据不同产业要求，合理设定主体资质（经营能力强、无安全生产事故，信用状况良好）、投入产出（投资强度、亩均产值、劳动生产率）、设施装备（机械化水平、设施种养面积）、规模年限（经营规模、经营年限）、生态环保（农业投入品、土壤质量和环境保护符合相关规范）、带动效益（壮大集体经济、带动农户增收）、能源排放（农业能源消耗、农机排放）、科技水平（新品种、新技术、良种良法、数字化应用）、质量效益（质量安全、产品追溯、质量认证、标准化生产）等具体控制性指标，明确定性和定量参数，形成农业标准地招引项目标准，对项目进行可行性充分评估，提高农业生产效率和效益，实现高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可持续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创新体制机制，着力保障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经营主体与农户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权益。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土地流转模式。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在保持土地承包关系不变的前提下，探索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“农户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Arial" w:hAnsi="Arial" w:eastAsia="仿宋_GB2312" w:cs="Arial"/>
          <w:color w:val="auto"/>
          <w:sz w:val="32"/>
          <w:szCs w:val="32"/>
          <w:lang w:val="en-US" w:eastAsia="zh-CN"/>
        </w:rPr>
        <w:t>村级组织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乡镇（区）农业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公司</w:t>
      </w:r>
      <w:r>
        <w:rPr>
          <w:rFonts w:hint="default" w:ascii="Arial" w:hAnsi="Arial" w:eastAsia="仿宋_GB2312" w:cs="Arial"/>
          <w:color w:val="auto"/>
          <w:sz w:val="32"/>
          <w:szCs w:val="32"/>
        </w:rPr>
        <w:t>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经营主体”的流转模式，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村级组织在承包方自愿的前提下做好本村内的委托流转或整村流转，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乡镇（区）农业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统筹做好本辖区内的土地流转、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土地收储、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改造提升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和招商引资。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对暂未招引项目的流转土地，可由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乡镇（区）农业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负责经营，也可签订意向协议由原农户或种养大户经营，避免出现脱节抛荒现象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二是以“易地”或“资金”补偿方式妥善处理“夹心地”“插花地”问题。针对影响主体生产经营的“夹心地”“插花地”，鼓励通过合同约定，将经营主体和农户的部分土地经营权进行互换，将临近村庄、耕作方便的地块调剂给农户，满足农户的耕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权益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返乡农民耕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权益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保障问题参照“插花地”处理；三是“以动账不动地”方式实现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二轮土地到期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政策平稳过渡。婺城区二轮延包将于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2028年到期，农业“标准地”一般要求土地流转10年以上，流转期内如遇二轮延包到期政策转变，以“动账”形式保障经营主体和承包户双方权益；四是推广土地流转履约保证保险。在前期开展的土地履约保证保险基础上，进一步提高保费财政补助额度，增加土地流转履约保证保险覆盖面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完善监督审核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，实行优胜劣汰的奖惩机制。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除需满足农业“标准地”需求端的控制性指标外，工商资本介入农村土地承包经营权流转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应加强监督审核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首先应审查工商企业的农业经营能力，着重审查该工商企业的资金、信用、技术能力、产业管理和规划能力以及应对农业经营风险的防范能力，建立负面清单，杜绝工商企业借流转之名违法违规经营土地抢占农业资源。实行奖惩退出机制，开展农业“标准地”定期评价，符合条件的农业“标准地”项目优先享受农业扶持政策和农业设施用地审批政策；对严重违反农业“标准地”投资建设协议且拒不整改的经营主体，终止投资建设协议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并依据协议条款追究相关违约责任。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（五）规范招商流程，实现土地利用效益最大化。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建立农业“标准地”储备库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乡镇（区）农业发展公司要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按照农业生产力布局规划，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做好农业标准地土地流转与改造提升，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汇总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储备一批农业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“标准地”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招商项目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库；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选择目标客户。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在充分分析每块农业“标准地”自身优势的基础上，参考土地流转片区指导价，初步商定目标价格，通过上门招商、展会招商、举办招商引资项目推介会（对接洽谈会）和土地流转平台招商等方式开展农业招商，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意向经营主体根据“标准地”项目产业定位和控制性指标寻找合适的“标准地”，编制可行性研究报告并经过相关部门核准后，提前与乡镇（区）农业发展公司进行对接达成初步意向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三是组织公开招投标。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将农业“标准地”招商信息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在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val="en-US" w:eastAsia="zh-CN"/>
        </w:rPr>
        <w:t>政务信息网、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婺城区公共资源交易中心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val="en-US" w:eastAsia="zh-CN"/>
        </w:rPr>
        <w:t>第三方平台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等平台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val="en-US" w:eastAsia="zh-CN"/>
        </w:rPr>
        <w:t>发布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，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经营主体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通过公开招投标方式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取得土地经营权。对土地优势不明显，经招投标流标后，可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与意向经营主体协议流转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 w:cs="仿宋_GB2312"/>
          <w:b/>
          <w:bCs/>
          <w:color w:val="auto"/>
          <w:spacing w:val="-6"/>
          <w:sz w:val="32"/>
          <w:szCs w:val="32"/>
          <w:lang w:eastAsia="zh-CN"/>
        </w:rPr>
        <w:t>四是签订流转合同和投资建议协议书。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“标准地”竞得者与乡镇（区）农业发展公司签订农业“标准地”流转合同和投资建设协议书，对控制性指标进行约定，并对违约责任进行明确。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（六）提升服务能力，妥善处理空置期农田管理。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培育壮大农业社会化服务组织；鼓励开展土地“预流转”和“零存整取”，在土地未达到规模连片“标准地”要求、或暂时未完成招商的土地流转空置期，以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全托管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</w:rPr>
        <w:t>半托管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eastAsia="zh-CN"/>
        </w:rPr>
        <w:t>的方式委托农业社会化服务组织完成闲置土地的农业生产，避免土地抛荒问题。</w:t>
      </w:r>
      <w:r>
        <w:rPr>
          <w:rFonts w:hint="eastAsia" w:ascii="仿宋_GB2312" w:hAnsi="仿宋" w:eastAsia="仿宋_GB2312" w:cs="仿宋_GB2312"/>
          <w:color w:val="auto"/>
          <w:spacing w:val="-6"/>
          <w:sz w:val="32"/>
          <w:szCs w:val="32"/>
          <w:lang w:val="en-US" w:eastAsia="zh-CN"/>
        </w:rPr>
        <w:t>到2024年6月，规模农业社会化服务组织达5家以上。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楷体_GB2312" w:hAnsi="楷体_GB2312" w:eastAsia="仿宋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（七）土壤动态评价，确保耕地质量可持续利用。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利用无人机、物联网等平台，将传统土壤采样化验与光谱、温湿传感等技术手段相结合，探索耕地质量立体监测的技术路径。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对完成招商的农业“标准地”，每三年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通过立体监测技术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掌握耕地质量变化情况，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开展耕地质量评价，设立耕地质量保护专项资金，对耕地质量保护措施有力、效果明显的予以激励，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促进耕地质量的提质增效和可持续利用，筑牢国家粮食安全基石。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2023年底前，建立农业“标准地”耕地质量立体监测体系。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（八）数据智能采集，高质量监管农业“标准地”。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通过卫星和无人机遥感动态监测农业“标准地”内的地物类型、分布和变化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，每个年度上半年、下半年各监测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防止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耕地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化”“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非粮化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在农业“标准地”安装智能虫情测报灯，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通过地面物联网对农作物的苗情、病虫害、环境信息等进行智慧化实时监测及自动预警，最大程度减少因环境变化或人为造成的农业事故发生。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(九)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构建数字平台，绘就农业“标准地”全区一张图。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以现有农耕地系统为基础，实现功能进一步升级，打通土地信息、确权信息、农户信息、流转信息、抵押融资信息、政策信息等土地管理服务领域数据共享信息壁垒，实现与“惠农补贴一件事”、“肥药两制”等特色系统资源共享、数据互通。加强数字化信息集成，绘制全区农业“标准地”数字地图，打造高效便捷的农业“标准地”智慧体系，实现农业“标准地”管理数据化、服务在线化、生产智能化、经营网格化，不断提升农业“标准地”工作管理水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（十）探索经营权抵押，拓宽金融支农渠道。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落实农村承包耕地所有权、承包权、经营权“三权分置”，规范经营权证发放与管理，规范经营权价格评估，积极与金融机构合作，探索以经营权抵押融资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解决农民贷款“抵押难、担保难”的问题，为农业产业转型升级、提质增效注入金融活水。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实施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（一）前期准备阶段（202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月至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月）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。结合我区实际，开展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实地调研，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制定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《农业“标准地”试点工作方案》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专班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，建立机制，明确分工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职责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和任务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上报省农业农村厅。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（二）具体实施阶段（202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月至2023年12月）。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2023年5月底前，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完成《粮食功能区建设规划》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《婺城区农业生产力布局规划》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《婺城区农业“标准地”暂行管理办法》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修订；出台《婺城区农业“标准地”改革专项扶持政策》；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制定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婺城区农业“标准地”改革供给端、需求端控制性指标；“惠农补贴一件事”应用上线运行。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2023年8月底前，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在前期调研的基础上，分产业提出《婺城区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土地流转片区指导价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完善农业标准地认定标准和程序，制定考核评定体系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；制定《婺城区农村土地委托流转协议》和《婺城区农业“标准地”投资协议》示范文本；建立工商资本准入机制和负面清单；规范农业“标准地”招商引资流程。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ascii="楷体_GB2312" w:hAnsi="仿宋" w:eastAsia="楷体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12月底前，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完成农耕地管理系统迭代升级，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农业“标准地”数字化多跨场景应用上线试运行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完成农业“标准地”耕地质量立体监测；完成一年两次无人机遥感作物类型动态监测和智能虫情测报灯安装；开展农业“标准地”高质量示范基地（项目）认定；全区农业“标准地”数字地图上图入库。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仿宋" w:eastAsia="楷体_GB2312"/>
          <w:color w:val="auto"/>
          <w:sz w:val="32"/>
          <w:szCs w:val="32"/>
          <w:lang w:eastAsia="zh-CN"/>
        </w:rPr>
        <w:t>（三）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总结</w:t>
      </w:r>
      <w:r>
        <w:rPr>
          <w:rFonts w:hint="eastAsia" w:ascii="楷体_GB2312" w:hAnsi="仿宋" w:eastAsia="楷体_GB2312"/>
          <w:color w:val="auto"/>
          <w:sz w:val="32"/>
          <w:szCs w:val="32"/>
          <w:lang w:eastAsia="zh-CN"/>
        </w:rPr>
        <w:t>验收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阶段（202</w:t>
      </w: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年</w:t>
      </w:r>
      <w:r>
        <w:rPr>
          <w:rFonts w:hint="eastAsia" w:ascii="楷体_GB2312" w:hAnsi="仿宋" w:eastAsia="楷体_GB2312"/>
          <w:color w:val="auto"/>
          <w:sz w:val="32"/>
          <w:szCs w:val="32"/>
          <w:lang w:val="en-US" w:eastAsia="zh-CN"/>
        </w:rPr>
        <w:t>1月到4</w:t>
      </w:r>
      <w:r>
        <w:rPr>
          <w:rFonts w:hint="eastAsia" w:ascii="楷体_GB2312" w:hAnsi="仿宋" w:eastAsia="楷体_GB2312"/>
          <w:color w:val="auto"/>
          <w:sz w:val="32"/>
          <w:szCs w:val="32"/>
        </w:rPr>
        <w:t>月）。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开展农业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标准地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”试点县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相关指标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验、总结提炼试点经验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，查漏补缺完善试点工作中的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短板，巩固试点成果，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迎接省农业“标准地”验收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形成可复制、可推广的农业“标准地”改革经验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五、工作保障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（一）加强组织领导。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为保障农业“标准地”改革试点的顺利实施，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组建婺城区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农业“标准地”改革试点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专班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，副区长洪一政担任专班组长，区农业农村局局长严东生为副组长，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发改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财政局、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人社局、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农业农村局、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区投资促进中心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区资规分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区水务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局、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生态环境分局等相关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部门分管领导为成员，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按照职责分工，落实责任，形成合力。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专班下设政策调研组，并借助第三方专业力量，专职研究拟订农业“标准地”相关政策。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（二）强化政策保障。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乡镇（区）农业开发公司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探索对农业“标准地”等经营性项目的运营模式；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财政部门完善涉农资金统筹整合机制，统筹高标准农田建设、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非粮化非农化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整治等基础设施项目，与农业“标准地”改革一体谋划、同步实施。完善财政激励机制，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每年区财政安排不少于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500万元专项资金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用于农业“标准地”，重点鼓励农田基础、土地流转、招商引资、社会化服务、土地流转履约保证保险等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，确保改革顺利推进。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（三）优化营商环境。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快构建党组织领导的乡村治理体系，发挥基层党组织战斗堡垒作用，规范有序开展土地流转，打造农业投资最优营商环境。相关部门要做好农业生产经营主体登记注册、设施农业用地备案等服务工作，重点抓好统筹协调、政策支持、资源整合、制度落实。各乡镇（街道）重点做好项目谋划、土地流转、政策落实、基础设施、主体培育，确保承接的经营主体顺利开工、生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（四）强化风险管控。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加强土地用途管制，建立农业“标准地”经营主体招商引资负面清单。对收储但暂未招引项目的流转土地，可由村股份经济合作社负责经营或委托农业服务主体管理。积极探索“土地预流转”模式，可签订意向协议，由原农户或种养大户经营，避免出现脱节抛荒现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（五）加强督查考核。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政府将农业“标准地”改革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列入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每季度“晒拼创”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清单以及乡村振兴年度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考核。各乡镇（街道）要紧扣农业“标准地”工作目标，细化工作方案，明确工作责任，落实工作措施，真抓实干，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建立动态管理机制，及时核销退出不符合条件的农业“标准地”项目，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确保试验目标任务顺利完成。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（六）加强宣传推广。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乡镇要充分利用电视、互联网、报刊和新媒体等媒介，广泛宣传“标准地”改革政策，及时准确发布改革信息，正确引导社会预期，认真总结农业“标准地”改革工作成效和做法，提炼改革创新经营典型，树立一批农业“标准地”标杆项目，有力推进“标准地”改革，不断优化提升营商环境，促进我区经济社会高质量发展。</w:t>
      </w:r>
    </w:p>
    <w:p>
      <w:pPr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05C883"/>
    <w:multiLevelType w:val="singleLevel"/>
    <w:tmpl w:val="E505C8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ZjlhYzkyZDA1NjFkZGI4NjMyMjI0MzNmZDQyMjUifQ=="/>
  </w:docVars>
  <w:rsids>
    <w:rsidRoot w:val="040A64E0"/>
    <w:rsid w:val="0006739B"/>
    <w:rsid w:val="003C1EBB"/>
    <w:rsid w:val="004A77B3"/>
    <w:rsid w:val="006C3B26"/>
    <w:rsid w:val="008D18AF"/>
    <w:rsid w:val="00900A82"/>
    <w:rsid w:val="009A3B80"/>
    <w:rsid w:val="00A05F47"/>
    <w:rsid w:val="00B40B18"/>
    <w:rsid w:val="00B45822"/>
    <w:rsid w:val="00BD5206"/>
    <w:rsid w:val="00CE5659"/>
    <w:rsid w:val="00CF1285"/>
    <w:rsid w:val="00CF3544"/>
    <w:rsid w:val="00ED3BD8"/>
    <w:rsid w:val="01211356"/>
    <w:rsid w:val="015A1FD4"/>
    <w:rsid w:val="01875DDB"/>
    <w:rsid w:val="025C4AEF"/>
    <w:rsid w:val="03B133BA"/>
    <w:rsid w:val="040A64E0"/>
    <w:rsid w:val="040B75F4"/>
    <w:rsid w:val="051E20BB"/>
    <w:rsid w:val="056B77C2"/>
    <w:rsid w:val="056F1060"/>
    <w:rsid w:val="05F95F61"/>
    <w:rsid w:val="0601719B"/>
    <w:rsid w:val="07545E6A"/>
    <w:rsid w:val="07647841"/>
    <w:rsid w:val="07744033"/>
    <w:rsid w:val="08414805"/>
    <w:rsid w:val="086F005B"/>
    <w:rsid w:val="08CC1BED"/>
    <w:rsid w:val="08F875BE"/>
    <w:rsid w:val="092B3B2F"/>
    <w:rsid w:val="09EC05A0"/>
    <w:rsid w:val="0A221417"/>
    <w:rsid w:val="0AC40656"/>
    <w:rsid w:val="0B4A7443"/>
    <w:rsid w:val="0C0C25F4"/>
    <w:rsid w:val="0C6717B0"/>
    <w:rsid w:val="0C7D7814"/>
    <w:rsid w:val="0CAE385F"/>
    <w:rsid w:val="0CCD5505"/>
    <w:rsid w:val="0D1B7CE5"/>
    <w:rsid w:val="0D1C7D6B"/>
    <w:rsid w:val="0DA3229F"/>
    <w:rsid w:val="0DEC5033"/>
    <w:rsid w:val="0E7414C5"/>
    <w:rsid w:val="0EAC4EAD"/>
    <w:rsid w:val="0F3D2D0C"/>
    <w:rsid w:val="0F7817A5"/>
    <w:rsid w:val="103E1967"/>
    <w:rsid w:val="11150F2F"/>
    <w:rsid w:val="11593E7E"/>
    <w:rsid w:val="11AB1672"/>
    <w:rsid w:val="121A3BC9"/>
    <w:rsid w:val="13271A15"/>
    <w:rsid w:val="139C6C16"/>
    <w:rsid w:val="143A024C"/>
    <w:rsid w:val="14C95394"/>
    <w:rsid w:val="14E015AB"/>
    <w:rsid w:val="15FD493A"/>
    <w:rsid w:val="165624C3"/>
    <w:rsid w:val="16A13D34"/>
    <w:rsid w:val="17635417"/>
    <w:rsid w:val="17F43E84"/>
    <w:rsid w:val="180B780C"/>
    <w:rsid w:val="18251953"/>
    <w:rsid w:val="1867206B"/>
    <w:rsid w:val="19632501"/>
    <w:rsid w:val="1A0B2C09"/>
    <w:rsid w:val="1A914629"/>
    <w:rsid w:val="1ADB63E4"/>
    <w:rsid w:val="1B36581E"/>
    <w:rsid w:val="1BD12B8B"/>
    <w:rsid w:val="1BE57DE7"/>
    <w:rsid w:val="1C1E2F4A"/>
    <w:rsid w:val="1C532303"/>
    <w:rsid w:val="1C79000C"/>
    <w:rsid w:val="1CAD09B1"/>
    <w:rsid w:val="1D622536"/>
    <w:rsid w:val="1D9B3432"/>
    <w:rsid w:val="1DEB6E45"/>
    <w:rsid w:val="1ED30894"/>
    <w:rsid w:val="1FEF232E"/>
    <w:rsid w:val="1FFB4DA8"/>
    <w:rsid w:val="20B266DE"/>
    <w:rsid w:val="20B76981"/>
    <w:rsid w:val="20F80A50"/>
    <w:rsid w:val="21691FF9"/>
    <w:rsid w:val="21C92D1A"/>
    <w:rsid w:val="21FC7F20"/>
    <w:rsid w:val="2208759F"/>
    <w:rsid w:val="22836628"/>
    <w:rsid w:val="23467D23"/>
    <w:rsid w:val="23C13189"/>
    <w:rsid w:val="23C75164"/>
    <w:rsid w:val="245C4BA0"/>
    <w:rsid w:val="24D345A3"/>
    <w:rsid w:val="25957950"/>
    <w:rsid w:val="26047869"/>
    <w:rsid w:val="26620A11"/>
    <w:rsid w:val="26B44BF1"/>
    <w:rsid w:val="26DC2E20"/>
    <w:rsid w:val="276B10F5"/>
    <w:rsid w:val="27D72102"/>
    <w:rsid w:val="28697EF6"/>
    <w:rsid w:val="29061E7F"/>
    <w:rsid w:val="29422464"/>
    <w:rsid w:val="2A1C6CD6"/>
    <w:rsid w:val="2AA32DED"/>
    <w:rsid w:val="2AD1252F"/>
    <w:rsid w:val="2AF91248"/>
    <w:rsid w:val="2B41674B"/>
    <w:rsid w:val="2B533945"/>
    <w:rsid w:val="2C034367"/>
    <w:rsid w:val="2D2F6DB3"/>
    <w:rsid w:val="2D400566"/>
    <w:rsid w:val="2D8F4049"/>
    <w:rsid w:val="2EA32BEA"/>
    <w:rsid w:val="2EEE0998"/>
    <w:rsid w:val="2F985C55"/>
    <w:rsid w:val="2FA71273"/>
    <w:rsid w:val="2FD972D1"/>
    <w:rsid w:val="2FEE0B15"/>
    <w:rsid w:val="301318D2"/>
    <w:rsid w:val="30B533DE"/>
    <w:rsid w:val="30CA05DE"/>
    <w:rsid w:val="31523FF3"/>
    <w:rsid w:val="31961D6B"/>
    <w:rsid w:val="31A50533"/>
    <w:rsid w:val="31AD54C0"/>
    <w:rsid w:val="324E0367"/>
    <w:rsid w:val="335A3762"/>
    <w:rsid w:val="33896EE1"/>
    <w:rsid w:val="33961F98"/>
    <w:rsid w:val="33AD34C8"/>
    <w:rsid w:val="33D20749"/>
    <w:rsid w:val="33FE167D"/>
    <w:rsid w:val="344A15B3"/>
    <w:rsid w:val="35B708A4"/>
    <w:rsid w:val="36DC6503"/>
    <w:rsid w:val="3775094F"/>
    <w:rsid w:val="379B192A"/>
    <w:rsid w:val="380E5769"/>
    <w:rsid w:val="382D2531"/>
    <w:rsid w:val="391060DB"/>
    <w:rsid w:val="3BB25D2E"/>
    <w:rsid w:val="3C1001A0"/>
    <w:rsid w:val="3C3C0F95"/>
    <w:rsid w:val="3D1E6D0A"/>
    <w:rsid w:val="3D2B653B"/>
    <w:rsid w:val="3D7B7A5F"/>
    <w:rsid w:val="3D9B7F3D"/>
    <w:rsid w:val="3E2452A9"/>
    <w:rsid w:val="3E7A4DE1"/>
    <w:rsid w:val="3EA41267"/>
    <w:rsid w:val="3FC618BD"/>
    <w:rsid w:val="404D19C2"/>
    <w:rsid w:val="40A53683"/>
    <w:rsid w:val="40C721D8"/>
    <w:rsid w:val="40D860C8"/>
    <w:rsid w:val="41F65713"/>
    <w:rsid w:val="431B77DE"/>
    <w:rsid w:val="44780898"/>
    <w:rsid w:val="44CF2EAF"/>
    <w:rsid w:val="46083F85"/>
    <w:rsid w:val="4641133E"/>
    <w:rsid w:val="46955E71"/>
    <w:rsid w:val="46F86E66"/>
    <w:rsid w:val="470859B2"/>
    <w:rsid w:val="47961EA1"/>
    <w:rsid w:val="489D348A"/>
    <w:rsid w:val="49951F79"/>
    <w:rsid w:val="49C117E4"/>
    <w:rsid w:val="4A3450D7"/>
    <w:rsid w:val="4A6905ED"/>
    <w:rsid w:val="4A762772"/>
    <w:rsid w:val="4C053D1F"/>
    <w:rsid w:val="4C3278B7"/>
    <w:rsid w:val="4CF338F1"/>
    <w:rsid w:val="4D373486"/>
    <w:rsid w:val="4D887746"/>
    <w:rsid w:val="4E0D5DA0"/>
    <w:rsid w:val="4E311476"/>
    <w:rsid w:val="4E3B72FE"/>
    <w:rsid w:val="4E565D23"/>
    <w:rsid w:val="4E6C6692"/>
    <w:rsid w:val="4F5353F9"/>
    <w:rsid w:val="501C315F"/>
    <w:rsid w:val="506E7682"/>
    <w:rsid w:val="50871641"/>
    <w:rsid w:val="516833A7"/>
    <w:rsid w:val="51D63AC8"/>
    <w:rsid w:val="52D621A6"/>
    <w:rsid w:val="532D6FF7"/>
    <w:rsid w:val="53810B7D"/>
    <w:rsid w:val="53C5765C"/>
    <w:rsid w:val="53E568F2"/>
    <w:rsid w:val="546F11FA"/>
    <w:rsid w:val="555516DD"/>
    <w:rsid w:val="55D43181"/>
    <w:rsid w:val="56352885"/>
    <w:rsid w:val="56AC3CEB"/>
    <w:rsid w:val="56CB52EE"/>
    <w:rsid w:val="56D77360"/>
    <w:rsid w:val="577A4C91"/>
    <w:rsid w:val="57F92530"/>
    <w:rsid w:val="587350F0"/>
    <w:rsid w:val="58E7784F"/>
    <w:rsid w:val="58F13D00"/>
    <w:rsid w:val="591946E0"/>
    <w:rsid w:val="597F4D17"/>
    <w:rsid w:val="59D30778"/>
    <w:rsid w:val="5AC468CD"/>
    <w:rsid w:val="5AE80830"/>
    <w:rsid w:val="5B305D11"/>
    <w:rsid w:val="5BDA1EDD"/>
    <w:rsid w:val="5BE035B9"/>
    <w:rsid w:val="5BFA5554"/>
    <w:rsid w:val="5C2A09B2"/>
    <w:rsid w:val="5D7114CA"/>
    <w:rsid w:val="5D7F1F4C"/>
    <w:rsid w:val="5D924F17"/>
    <w:rsid w:val="5E91763D"/>
    <w:rsid w:val="5F5000FA"/>
    <w:rsid w:val="5F597CC1"/>
    <w:rsid w:val="5F5F4E16"/>
    <w:rsid w:val="60D97E42"/>
    <w:rsid w:val="620E7ACC"/>
    <w:rsid w:val="62E45366"/>
    <w:rsid w:val="636229A2"/>
    <w:rsid w:val="63EE6769"/>
    <w:rsid w:val="64B82FFF"/>
    <w:rsid w:val="65A728BF"/>
    <w:rsid w:val="65F854E7"/>
    <w:rsid w:val="6681220C"/>
    <w:rsid w:val="66E53E53"/>
    <w:rsid w:val="67B57B02"/>
    <w:rsid w:val="681F3395"/>
    <w:rsid w:val="68F26930"/>
    <w:rsid w:val="699E4068"/>
    <w:rsid w:val="69CA0E8D"/>
    <w:rsid w:val="69F05B83"/>
    <w:rsid w:val="6A451712"/>
    <w:rsid w:val="6A503662"/>
    <w:rsid w:val="6A696B49"/>
    <w:rsid w:val="6AAF0A00"/>
    <w:rsid w:val="6D3E2CBD"/>
    <w:rsid w:val="6D67763E"/>
    <w:rsid w:val="6DB953FA"/>
    <w:rsid w:val="6DD8026E"/>
    <w:rsid w:val="6E11149A"/>
    <w:rsid w:val="6E557FDB"/>
    <w:rsid w:val="6F782492"/>
    <w:rsid w:val="6FBC1BF7"/>
    <w:rsid w:val="6FEC6D36"/>
    <w:rsid w:val="70940529"/>
    <w:rsid w:val="70C817B4"/>
    <w:rsid w:val="70CB40BA"/>
    <w:rsid w:val="70DC7BFD"/>
    <w:rsid w:val="72302705"/>
    <w:rsid w:val="733509A9"/>
    <w:rsid w:val="73476C88"/>
    <w:rsid w:val="738D38A8"/>
    <w:rsid w:val="73CB0C3C"/>
    <w:rsid w:val="73E57B75"/>
    <w:rsid w:val="73F500F8"/>
    <w:rsid w:val="73FF5D47"/>
    <w:rsid w:val="74141EB8"/>
    <w:rsid w:val="74485A21"/>
    <w:rsid w:val="74F811F5"/>
    <w:rsid w:val="75BC7BBF"/>
    <w:rsid w:val="75E0572D"/>
    <w:rsid w:val="765C66DF"/>
    <w:rsid w:val="76A80185"/>
    <w:rsid w:val="76C23B47"/>
    <w:rsid w:val="76C27699"/>
    <w:rsid w:val="772C2A85"/>
    <w:rsid w:val="77623145"/>
    <w:rsid w:val="78733CA3"/>
    <w:rsid w:val="78B35DFD"/>
    <w:rsid w:val="78DB3075"/>
    <w:rsid w:val="79AC0800"/>
    <w:rsid w:val="79B51D7F"/>
    <w:rsid w:val="79CC20F7"/>
    <w:rsid w:val="7A0D50E6"/>
    <w:rsid w:val="7A640DB2"/>
    <w:rsid w:val="7ACC3DEE"/>
    <w:rsid w:val="7AD92F2B"/>
    <w:rsid w:val="7B5D1DB2"/>
    <w:rsid w:val="7B8F465E"/>
    <w:rsid w:val="7BE129E3"/>
    <w:rsid w:val="7D0A7D09"/>
    <w:rsid w:val="7DF804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spacing w:line="300" w:lineRule="exact"/>
      <w:ind w:left="720" w:hanging="720" w:hangingChars="300"/>
    </w:pPr>
    <w:rPr>
      <w:rFonts w:ascii="宋体"/>
      <w:sz w:val="24"/>
      <w:szCs w:val="20"/>
    </w:rPr>
  </w:style>
  <w:style w:type="paragraph" w:styleId="4">
    <w:name w:val="Normal Indent"/>
    <w:basedOn w:val="1"/>
    <w:next w:val="3"/>
    <w:unhideWhenUsed/>
    <w:qFormat/>
    <w:uiPriority w:val="99"/>
    <w:pPr>
      <w:ind w:left="7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0"/>
    <w:rPr>
      <w:i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91EC0C-4A6E-4047-8E7D-C145BE2358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6489</Words>
  <Characters>6594</Characters>
  <Lines>51</Lines>
  <Paragraphs>14</Paragraphs>
  <TotalTime>38</TotalTime>
  <ScaleCrop>false</ScaleCrop>
  <LinksUpToDate>false</LinksUpToDate>
  <CharactersWithSpaces>6597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2022-08-22T14:12:00Z</dcterms:created>
  <dc:creator>杨朝洋</dc:creator>
  <cp:lastModifiedBy>pipibo</cp:lastModifiedBy>
  <cp:lastPrinted>2022-08-23T23:58:00Z</cp:lastPrinted>
  <dcterms:modified xsi:type="dcterms:W3CDTF">2023-11-03T07:27:42Z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327CE829476E47AFB8A94F922256C8B9</vt:lpwstr>
  </property>
</Properties>
</file>