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bidi w:val="0"/>
        <w:adjustRightInd/>
        <w:snapToGrid/>
        <w:spacing w:line="560" w:lineRule="exact"/>
        <w:ind w:left="0" w:leftChars="0" w:right="0" w:rightChars="0"/>
        <w:jc w:val="center"/>
        <w:textAlignment w:val="auto"/>
        <w:rPr>
          <w:rFonts w:ascii="Times New Roman" w:hAnsi="Times New Roman"/>
          <w:b/>
          <w:kern w:val="0"/>
          <w:sz w:val="48"/>
          <w:szCs w:val="48"/>
        </w:rPr>
      </w:pPr>
      <w:bookmarkStart w:id="1" w:name="_GoBack"/>
      <w:bookmarkEnd w:id="1"/>
    </w:p>
    <w:p>
      <w:pPr>
        <w:pStyle w:val="26"/>
        <w:pageBreakBefore w:val="0"/>
        <w:kinsoku/>
        <w:wordWrap/>
        <w:overflowPunct/>
        <w:topLinePunct w:val="0"/>
        <w:bidi w:val="0"/>
        <w:adjustRightInd/>
        <w:snapToGrid/>
        <w:spacing w:line="560" w:lineRule="exact"/>
        <w:ind w:left="0" w:leftChars="0" w:right="0" w:rightChars="0"/>
        <w:jc w:val="center"/>
        <w:textAlignment w:val="auto"/>
        <w:rPr>
          <w:rFonts w:ascii="Times New Roman" w:hAnsi="Times New Roman"/>
          <w:b/>
          <w:sz w:val="48"/>
          <w:szCs w:val="48"/>
        </w:rPr>
      </w:pPr>
    </w:p>
    <w:p>
      <w:pPr>
        <w:pStyle w:val="26"/>
        <w:pageBreakBefore w:val="0"/>
        <w:kinsoku/>
        <w:wordWrap/>
        <w:overflowPunct/>
        <w:topLinePunct w:val="0"/>
        <w:bidi w:val="0"/>
        <w:adjustRightInd/>
        <w:snapToGrid/>
        <w:spacing w:line="560" w:lineRule="exact"/>
        <w:ind w:left="0" w:leftChars="0" w:right="0" w:rightChars="0"/>
        <w:jc w:val="center"/>
        <w:textAlignment w:val="auto"/>
        <w:rPr>
          <w:rFonts w:ascii="Times New Roman" w:hAnsi="Times New Roman"/>
          <w:b/>
          <w:sz w:val="48"/>
          <w:szCs w:val="48"/>
        </w:rPr>
      </w:pPr>
    </w:p>
    <w:p>
      <w:pPr>
        <w:pStyle w:val="26"/>
        <w:pageBreakBefore w:val="0"/>
        <w:kinsoku/>
        <w:wordWrap/>
        <w:overflowPunct/>
        <w:topLinePunct w:val="0"/>
        <w:bidi w:val="0"/>
        <w:adjustRightInd/>
        <w:snapToGrid/>
        <w:spacing w:line="560" w:lineRule="exact"/>
        <w:ind w:left="0" w:leftChars="0" w:right="0" w:rightChars="0"/>
        <w:jc w:val="center"/>
        <w:textAlignment w:val="auto"/>
        <w:rPr>
          <w:rFonts w:ascii="Times New Roman" w:hAnsi="Times New Roman"/>
          <w:b/>
          <w:sz w:val="48"/>
          <w:szCs w:val="48"/>
        </w:rPr>
      </w:pPr>
    </w:p>
    <w:p>
      <w:pPr>
        <w:pStyle w:val="26"/>
        <w:pageBreakBefore w:val="0"/>
        <w:kinsoku/>
        <w:wordWrap/>
        <w:overflowPunct/>
        <w:topLinePunct w:val="0"/>
        <w:bidi w:val="0"/>
        <w:adjustRightInd/>
        <w:snapToGrid/>
        <w:spacing w:line="560" w:lineRule="exact"/>
        <w:ind w:left="0" w:leftChars="0" w:right="0" w:rightChars="0"/>
        <w:jc w:val="center"/>
        <w:textAlignment w:val="auto"/>
        <w:rPr>
          <w:rFonts w:ascii="Times New Roman" w:hAnsi="Times New Roman"/>
          <w:b/>
          <w:sz w:val="48"/>
          <w:szCs w:val="48"/>
        </w:rPr>
      </w:pPr>
    </w:p>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0" w:firstLineChars="0"/>
        <w:jc w:val="center"/>
        <w:textAlignment w:val="auto"/>
        <w:outlineLvl w:val="9"/>
        <w:rPr>
          <w:rFonts w:hint="eastAsia" w:ascii="方正小标宋简体" w:hAnsi="Times New Roman" w:eastAsia="方正小标宋简体"/>
          <w:kern w:val="0"/>
          <w:sz w:val="52"/>
          <w:szCs w:val="52"/>
          <w:lang w:eastAsia="zh-CN"/>
        </w:rPr>
      </w:pPr>
      <w:r>
        <w:rPr>
          <w:rFonts w:hint="eastAsia" w:ascii="方正小标宋简体" w:hAnsi="Times New Roman" w:eastAsia="方正小标宋简体"/>
          <w:kern w:val="0"/>
          <w:sz w:val="52"/>
          <w:szCs w:val="52"/>
          <w:lang w:eastAsia="zh-CN"/>
        </w:rPr>
        <w:t>婺城区</w:t>
      </w:r>
      <w:r>
        <w:rPr>
          <w:rFonts w:hint="eastAsia" w:ascii="方正小标宋简体" w:hAnsi="Times New Roman" w:eastAsia="方正小标宋简体"/>
          <w:kern w:val="0"/>
          <w:sz w:val="52"/>
          <w:szCs w:val="52"/>
        </w:rPr>
        <w:t>入河排污口</w:t>
      </w:r>
      <w:r>
        <w:rPr>
          <w:rFonts w:hint="eastAsia" w:ascii="方正小标宋简体" w:hAnsi="Times New Roman" w:eastAsia="方正小标宋简体"/>
          <w:kern w:val="0"/>
          <w:sz w:val="52"/>
          <w:szCs w:val="52"/>
          <w:lang w:eastAsia="zh-CN"/>
        </w:rPr>
        <w:t>排查</w:t>
      </w:r>
    </w:p>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0" w:firstLineChars="0"/>
        <w:jc w:val="center"/>
        <w:textAlignment w:val="auto"/>
        <w:outlineLvl w:val="9"/>
        <w:rPr>
          <w:rFonts w:ascii="方正小标宋简体" w:hAnsi="Times New Roman" w:eastAsia="方正小标宋简体"/>
          <w:kern w:val="0"/>
          <w:sz w:val="52"/>
          <w:szCs w:val="52"/>
        </w:rPr>
      </w:pPr>
      <w:r>
        <w:rPr>
          <w:rFonts w:hint="eastAsia" w:ascii="方正小标宋简体" w:hAnsi="Times New Roman" w:eastAsia="方正小标宋简体"/>
          <w:kern w:val="0"/>
          <w:sz w:val="52"/>
          <w:szCs w:val="52"/>
        </w:rPr>
        <w:t>项目实施方案</w:t>
      </w:r>
    </w:p>
    <w:p>
      <w:pPr>
        <w:pageBreakBefore w:val="0"/>
        <w:kinsoku/>
        <w:wordWrap/>
        <w:overflowPunct/>
        <w:topLinePunct w:val="0"/>
        <w:bidi w:val="0"/>
        <w:adjustRightInd/>
        <w:snapToGrid/>
        <w:spacing w:line="560" w:lineRule="exact"/>
        <w:ind w:left="0" w:leftChars="0" w:right="0" w:rightChars="0"/>
        <w:jc w:val="center"/>
        <w:textAlignment w:val="auto"/>
        <w:rPr>
          <w:rFonts w:ascii="Times New Roman" w:hAnsi="Times New Roman"/>
          <w:b/>
          <w:kern w:val="0"/>
          <w:sz w:val="44"/>
          <w:szCs w:val="44"/>
        </w:rPr>
      </w:pPr>
    </w:p>
    <w:p>
      <w:pPr>
        <w:pageBreakBefore w:val="0"/>
        <w:kinsoku/>
        <w:wordWrap/>
        <w:overflowPunct/>
        <w:topLinePunct w:val="0"/>
        <w:bidi w:val="0"/>
        <w:adjustRightInd/>
        <w:snapToGrid/>
        <w:spacing w:line="560" w:lineRule="exact"/>
        <w:ind w:left="0" w:leftChars="0" w:right="0" w:rightChars="0"/>
        <w:jc w:val="center"/>
        <w:textAlignment w:val="auto"/>
        <w:rPr>
          <w:rFonts w:ascii="Times New Roman" w:hAnsi="Times New Roman"/>
          <w:b/>
          <w:kern w:val="0"/>
          <w:sz w:val="44"/>
          <w:szCs w:val="44"/>
        </w:rPr>
      </w:pPr>
    </w:p>
    <w:p>
      <w:pPr>
        <w:pageBreakBefore w:val="0"/>
        <w:kinsoku/>
        <w:wordWrap/>
        <w:overflowPunct/>
        <w:topLinePunct w:val="0"/>
        <w:bidi w:val="0"/>
        <w:adjustRightInd/>
        <w:snapToGrid/>
        <w:spacing w:line="560" w:lineRule="exact"/>
        <w:ind w:left="0" w:leftChars="0" w:right="0" w:rightChars="0"/>
        <w:jc w:val="center"/>
        <w:textAlignment w:val="auto"/>
        <w:rPr>
          <w:rFonts w:ascii="Times New Roman" w:hAnsi="Times New Roman"/>
          <w:b/>
          <w:kern w:val="0"/>
          <w:sz w:val="44"/>
          <w:szCs w:val="44"/>
        </w:rPr>
      </w:pPr>
    </w:p>
    <w:p>
      <w:pPr>
        <w:pageBreakBefore w:val="0"/>
        <w:kinsoku/>
        <w:wordWrap/>
        <w:overflowPunct/>
        <w:topLinePunct w:val="0"/>
        <w:bidi w:val="0"/>
        <w:adjustRightInd/>
        <w:snapToGrid/>
        <w:spacing w:line="560" w:lineRule="exact"/>
        <w:ind w:left="0" w:leftChars="0" w:right="0" w:rightChars="0"/>
        <w:jc w:val="center"/>
        <w:textAlignment w:val="auto"/>
        <w:rPr>
          <w:rFonts w:ascii="Times New Roman" w:hAnsi="Times New Roman"/>
          <w:b/>
          <w:kern w:val="0"/>
          <w:sz w:val="44"/>
          <w:szCs w:val="44"/>
        </w:rPr>
      </w:pPr>
    </w:p>
    <w:p>
      <w:pPr>
        <w:pageBreakBefore w:val="0"/>
        <w:kinsoku/>
        <w:wordWrap/>
        <w:overflowPunct/>
        <w:topLinePunct w:val="0"/>
        <w:bidi w:val="0"/>
        <w:adjustRightInd/>
        <w:snapToGrid/>
        <w:spacing w:line="560" w:lineRule="exact"/>
        <w:ind w:left="0" w:leftChars="0" w:right="0" w:rightChars="0"/>
        <w:jc w:val="center"/>
        <w:textAlignment w:val="auto"/>
        <w:rPr>
          <w:rFonts w:ascii="Times New Roman" w:hAnsi="Times New Roman"/>
          <w:b/>
          <w:kern w:val="0"/>
          <w:sz w:val="44"/>
          <w:szCs w:val="44"/>
        </w:rPr>
      </w:pPr>
    </w:p>
    <w:p>
      <w:pPr>
        <w:pStyle w:val="26"/>
        <w:pageBreakBefore w:val="0"/>
        <w:kinsoku/>
        <w:wordWrap/>
        <w:overflowPunct/>
        <w:topLinePunct w:val="0"/>
        <w:bidi w:val="0"/>
        <w:adjustRightInd/>
        <w:snapToGrid/>
        <w:spacing w:line="560" w:lineRule="exact"/>
        <w:ind w:left="0" w:leftChars="0" w:right="0" w:rightChars="0"/>
        <w:jc w:val="center"/>
        <w:textAlignment w:val="auto"/>
        <w:rPr>
          <w:rFonts w:ascii="Times New Roman" w:hAnsi="Times New Roman"/>
          <w:b/>
          <w:sz w:val="44"/>
          <w:szCs w:val="44"/>
        </w:rPr>
      </w:pPr>
    </w:p>
    <w:p>
      <w:pPr>
        <w:pStyle w:val="26"/>
        <w:pageBreakBefore w:val="0"/>
        <w:kinsoku/>
        <w:wordWrap/>
        <w:overflowPunct/>
        <w:topLinePunct w:val="0"/>
        <w:bidi w:val="0"/>
        <w:adjustRightInd/>
        <w:snapToGrid/>
        <w:spacing w:line="560" w:lineRule="exact"/>
        <w:ind w:left="0" w:leftChars="0" w:right="0" w:rightChars="0"/>
        <w:jc w:val="center"/>
        <w:textAlignment w:val="auto"/>
        <w:rPr>
          <w:rFonts w:ascii="Times New Roman" w:hAnsi="Times New Roman"/>
          <w:b/>
          <w:sz w:val="44"/>
          <w:szCs w:val="44"/>
        </w:rPr>
      </w:pPr>
    </w:p>
    <w:p>
      <w:pPr>
        <w:pageBreakBefore w:val="0"/>
        <w:kinsoku/>
        <w:wordWrap/>
        <w:overflowPunct/>
        <w:topLinePunct w:val="0"/>
        <w:bidi w:val="0"/>
        <w:adjustRightInd/>
        <w:snapToGrid/>
        <w:spacing w:line="560" w:lineRule="exact"/>
        <w:ind w:left="0" w:leftChars="0" w:right="0" w:rightChars="0"/>
        <w:jc w:val="center"/>
        <w:textAlignment w:val="auto"/>
        <w:rPr>
          <w:rFonts w:ascii="Times New Roman" w:hAnsi="Times New Roman"/>
          <w:b/>
          <w:kern w:val="0"/>
          <w:sz w:val="44"/>
          <w:szCs w:val="44"/>
        </w:rPr>
      </w:pPr>
    </w:p>
    <w:p>
      <w:pPr>
        <w:pStyle w:val="2"/>
        <w:rPr>
          <w:rFonts w:ascii="Times New Roman" w:hAnsi="Times New Roman"/>
          <w:b/>
          <w:kern w:val="0"/>
          <w:sz w:val="44"/>
          <w:szCs w:val="44"/>
        </w:rPr>
      </w:pPr>
    </w:p>
    <w:p>
      <w:pPr>
        <w:pStyle w:val="2"/>
        <w:rPr>
          <w:rFonts w:ascii="Times New Roman" w:hAnsi="Times New Roman"/>
          <w:b/>
          <w:kern w:val="0"/>
          <w:sz w:val="44"/>
          <w:szCs w:val="44"/>
        </w:rPr>
      </w:pPr>
    </w:p>
    <w:p>
      <w:pPr>
        <w:pageBreakBefore w:val="0"/>
        <w:tabs>
          <w:tab w:val="left" w:pos="1510"/>
        </w:tabs>
        <w:kinsoku/>
        <w:wordWrap/>
        <w:overflowPunct/>
        <w:topLinePunct w:val="0"/>
        <w:bidi w:val="0"/>
        <w:adjustRightInd/>
        <w:snapToGrid/>
        <w:spacing w:line="560" w:lineRule="exact"/>
        <w:ind w:left="0" w:leftChars="0" w:right="0" w:rightChars="0"/>
        <w:jc w:val="center"/>
        <w:textAlignment w:val="auto"/>
        <w:rPr>
          <w:rFonts w:hint="eastAsia" w:ascii="黑体" w:hAnsi="Times New Roman" w:eastAsia="黑体"/>
          <w:sz w:val="44"/>
          <w:szCs w:val="44"/>
        </w:rPr>
      </w:pPr>
    </w:p>
    <w:p>
      <w:pPr>
        <w:pageBreakBefore w:val="0"/>
        <w:tabs>
          <w:tab w:val="left" w:pos="1510"/>
        </w:tabs>
        <w:kinsoku/>
        <w:wordWrap/>
        <w:overflowPunct/>
        <w:topLinePunct w:val="0"/>
        <w:bidi w:val="0"/>
        <w:adjustRightInd/>
        <w:snapToGrid/>
        <w:spacing w:line="560" w:lineRule="exact"/>
        <w:ind w:left="0" w:leftChars="0" w:right="0" w:rightChars="0" w:firstLine="0" w:firstLineChars="0"/>
        <w:jc w:val="center"/>
        <w:textAlignment w:val="auto"/>
        <w:rPr>
          <w:rFonts w:ascii="黑体" w:hAnsi="Times New Roman" w:eastAsia="黑体"/>
          <w:sz w:val="44"/>
          <w:szCs w:val="44"/>
        </w:rPr>
      </w:pPr>
      <w:r>
        <w:rPr>
          <w:rFonts w:hint="eastAsia" w:ascii="黑体" w:hAnsi="Times New Roman" w:eastAsia="黑体"/>
          <w:sz w:val="44"/>
          <w:szCs w:val="44"/>
        </w:rPr>
        <w:t>二〇二</w:t>
      </w:r>
      <w:r>
        <w:rPr>
          <w:rFonts w:hint="eastAsia" w:ascii="黑体" w:hAnsi="Times New Roman" w:eastAsia="黑体"/>
          <w:sz w:val="44"/>
          <w:szCs w:val="44"/>
          <w:lang w:val="en-US" w:eastAsia="zh-CN"/>
        </w:rPr>
        <w:t>三</w:t>
      </w:r>
      <w:r>
        <w:rPr>
          <w:rFonts w:hint="eastAsia" w:ascii="黑体" w:hAnsi="Times New Roman" w:eastAsia="黑体"/>
          <w:sz w:val="44"/>
          <w:szCs w:val="44"/>
        </w:rPr>
        <w:t>年</w:t>
      </w:r>
      <w:r>
        <w:rPr>
          <w:rFonts w:hint="eastAsia" w:ascii="黑体" w:hAnsi="Times New Roman" w:eastAsia="黑体"/>
          <w:sz w:val="44"/>
          <w:szCs w:val="44"/>
          <w:lang w:val="en-US" w:eastAsia="zh-CN"/>
        </w:rPr>
        <w:t>八</w:t>
      </w:r>
      <w:r>
        <w:rPr>
          <w:rFonts w:hint="eastAsia" w:ascii="黑体" w:hAnsi="Times New Roman" w:eastAsia="黑体"/>
          <w:sz w:val="44"/>
          <w:szCs w:val="44"/>
        </w:rPr>
        <w:t>月</w:t>
      </w:r>
    </w:p>
    <w:p>
      <w:pPr>
        <w:pageBreakBefore w:val="0"/>
        <w:kinsoku/>
        <w:wordWrap/>
        <w:overflowPunct/>
        <w:topLinePunct w:val="0"/>
        <w:bidi w:val="0"/>
        <w:adjustRightInd/>
        <w:snapToGrid/>
        <w:spacing w:line="560" w:lineRule="exact"/>
        <w:ind w:left="0" w:leftChars="0" w:right="0" w:rightChars="0"/>
        <w:jc w:val="center"/>
        <w:textAlignment w:val="auto"/>
        <w:rPr>
          <w:rFonts w:ascii="Times New Roman" w:hAnsi="Times New Roman"/>
          <w:b/>
          <w:kern w:val="0"/>
          <w:sz w:val="44"/>
          <w:szCs w:val="44"/>
        </w:rPr>
      </w:pPr>
    </w:p>
    <w:p>
      <w:pPr>
        <w:pageBreakBefore w:val="0"/>
        <w:kinsoku/>
        <w:wordWrap/>
        <w:overflowPunct/>
        <w:topLinePunct w:val="0"/>
        <w:bidi w:val="0"/>
        <w:adjustRightInd/>
        <w:snapToGrid/>
        <w:spacing w:line="560" w:lineRule="exact"/>
        <w:ind w:left="0" w:leftChars="0" w:right="0" w:rightChars="0"/>
        <w:jc w:val="center"/>
        <w:textAlignment w:val="auto"/>
        <w:rPr>
          <w:rFonts w:ascii="Times New Roman" w:hAnsi="Times New Roman"/>
          <w:b/>
          <w:kern w:val="0"/>
          <w:sz w:val="44"/>
          <w:szCs w:val="44"/>
        </w:rPr>
      </w:pPr>
    </w:p>
    <w:p>
      <w:pPr>
        <w:pStyle w:val="3"/>
        <w:pageBreakBefore w:val="0"/>
        <w:kinsoku/>
        <w:wordWrap/>
        <w:overflowPunct/>
        <w:topLinePunct w:val="0"/>
        <w:bidi w:val="0"/>
        <w:adjustRightInd/>
        <w:snapToGrid/>
        <w:spacing w:before="0" w:after="0" w:line="560" w:lineRule="exact"/>
        <w:ind w:left="0" w:leftChars="0" w:right="0" w:rightChars="0" w:firstLine="0" w:firstLine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婺城区</w:t>
      </w:r>
      <w:r>
        <w:rPr>
          <w:rFonts w:hint="eastAsia" w:ascii="方正小标宋简体" w:hAnsi="方正小标宋简体" w:eastAsia="方正小标宋简体" w:cs="方正小标宋简体"/>
          <w:sz w:val="44"/>
          <w:szCs w:val="44"/>
        </w:rPr>
        <w:t>入河排污口</w:t>
      </w:r>
      <w:r>
        <w:rPr>
          <w:rFonts w:hint="eastAsia" w:ascii="方正小标宋简体" w:hAnsi="方正小标宋简体" w:eastAsia="方正小标宋简体" w:cs="方正小标宋简体"/>
          <w:sz w:val="44"/>
          <w:szCs w:val="44"/>
          <w:lang w:eastAsia="zh-CN"/>
        </w:rPr>
        <w:t>排查整治</w:t>
      </w:r>
      <w:r>
        <w:rPr>
          <w:rFonts w:hint="eastAsia" w:ascii="方正小标宋简体" w:hAnsi="方正小标宋简体" w:eastAsia="方正小标宋简体" w:cs="方正小标宋简体"/>
          <w:sz w:val="44"/>
          <w:szCs w:val="44"/>
        </w:rPr>
        <w:t>项目实施方案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72" w:firstLineChars="200"/>
        <w:jc w:val="left"/>
        <w:textAlignment w:val="auto"/>
        <w:outlineLvl w:val="9"/>
        <w:rPr>
          <w:rFonts w:hint="eastAsia" w:ascii="仿宋_GB2312" w:hAnsi="仿宋_GB2312" w:eastAsia="仿宋_GB2312" w:cs="仿宋_GB2312"/>
          <w:color w:val="auto"/>
          <w:spacing w:val="8"/>
        </w:rPr>
      </w:pPr>
      <w:bookmarkStart w:id="0" w:name="_Toc17797"/>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72" w:firstLineChars="200"/>
        <w:jc w:val="left"/>
        <w:textAlignment w:val="auto"/>
        <w:outlineLvl w:val="9"/>
        <w:rPr>
          <w:rFonts w:hint="eastAsia" w:ascii="仿宋_GB2312" w:hAnsi="仿宋_GB2312" w:eastAsia="仿宋_GB2312" w:cs="仿宋_GB2312"/>
          <w:color w:val="auto"/>
          <w:spacing w:val="8"/>
          <w:lang w:val="en-US" w:eastAsia="zh-CN"/>
        </w:rPr>
      </w:pPr>
      <w:r>
        <w:rPr>
          <w:rFonts w:hint="eastAsia" w:ascii="仿宋_GB2312" w:hAnsi="仿宋_GB2312" w:eastAsia="仿宋_GB2312" w:cs="仿宋_GB2312"/>
          <w:color w:val="auto"/>
          <w:spacing w:val="8"/>
        </w:rPr>
        <w:t>为贯彻落实《国务院办公厅关于加强入河入海排污口监督管理工作的实施意见》（国办函〔2022〕17 号）《国务院办公厅关于转发生态环境部国家发展改革委长江入河排污口整治行动方案的通知》（国办函〔2022〕76 号）《浙江省人民政府办公厅关于印发浙江省加强入河入海排污口监督管理工作方案的通知》（浙政办发〔2022〕69 号）</w:t>
      </w:r>
      <w:r>
        <w:rPr>
          <w:rFonts w:hint="eastAsia" w:ascii="仿宋_GB2312" w:hAnsi="仿宋_GB2312" w:eastAsia="仿宋_GB2312" w:cs="仿宋_GB2312"/>
          <w:color w:val="auto"/>
          <w:spacing w:val="8"/>
          <w:lang w:val="en-US" w:eastAsia="zh-CN"/>
        </w:rPr>
        <w:t>《金华市入河排污口排查整治行动方案（2023—2025年）》（金政办发〔2023〕30号）等文件精神，全面推进入河排污口排查、监测、溯源、整治，加强和规范排污口监督管理，结合我区实际，制定本方案。</w:t>
      </w:r>
      <w:bookmarkEnd w:id="0"/>
    </w:p>
    <w:p>
      <w:pPr>
        <w:pageBreakBefore w:val="0"/>
        <w:kinsoku/>
        <w:wordWrap/>
        <w:overflowPunct/>
        <w:topLinePunct w:val="0"/>
        <w:bidi w:val="0"/>
        <w:adjustRightInd/>
        <w:snapToGrid/>
        <w:spacing w:line="560" w:lineRule="exact"/>
        <w:ind w:left="0" w:leftChars="0" w:right="0" w:rightChars="0"/>
        <w:textAlignment w:val="auto"/>
        <w:rPr>
          <w:rFonts w:ascii="黑体" w:hAnsi="黑体" w:eastAsia="黑体" w:cs="黑体"/>
          <w:sz w:val="32"/>
          <w:szCs w:val="32"/>
        </w:rPr>
      </w:pPr>
      <w:r>
        <w:rPr>
          <w:rFonts w:hint="eastAsia" w:ascii="黑体" w:hAnsi="黑体" w:eastAsia="黑体" w:cs="黑体"/>
          <w:spacing w:val="7"/>
          <w:sz w:val="32"/>
          <w:szCs w:val="32"/>
          <w:lang w:eastAsia="zh-CN"/>
        </w:rPr>
        <w:t>一</w:t>
      </w:r>
      <w:r>
        <w:rPr>
          <w:rFonts w:ascii="黑体" w:hAnsi="黑体" w:eastAsia="黑体" w:cs="黑体"/>
          <w:spacing w:val="7"/>
          <w:sz w:val="32"/>
          <w:szCs w:val="32"/>
        </w:rPr>
        <w:t>、总体要求</w:t>
      </w:r>
    </w:p>
    <w:p>
      <w:pPr>
        <w:pStyle w:val="10"/>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3" w:firstLineChars="200"/>
        <w:jc w:val="both"/>
        <w:textAlignment w:val="auto"/>
        <w:outlineLvl w:val="9"/>
        <w:rPr>
          <w:rFonts w:hint="eastAsia" w:ascii="仿宋_GB2312" w:hAnsi="仿宋_GB2312" w:eastAsia="仿宋_GB2312" w:cs="仿宋_GB2312"/>
          <w:color w:val="auto"/>
          <w:spacing w:val="8"/>
          <w:kern w:val="2"/>
          <w:sz w:val="32"/>
          <w:szCs w:val="22"/>
          <w:lang w:val="en-US" w:eastAsia="zh-CN" w:bidi="ar-SA"/>
        </w:rPr>
      </w:pPr>
      <w:r>
        <w:rPr>
          <w:rFonts w:hint="eastAsia" w:ascii="楷体" w:hAnsi="楷体" w:eastAsia="楷体" w:cs="楷体"/>
          <w:b/>
          <w:bCs/>
          <w:kern w:val="2"/>
          <w:sz w:val="32"/>
          <w:szCs w:val="32"/>
          <w:lang w:val="en-US" w:eastAsia="zh-CN" w:bidi="ar-SA"/>
        </w:rPr>
        <w:t>(一)指导思想。</w:t>
      </w:r>
      <w:r>
        <w:rPr>
          <w:rFonts w:hint="eastAsia" w:ascii="仿宋_GB2312" w:hAnsi="仿宋_GB2312" w:eastAsia="仿宋_GB2312" w:cs="仿宋_GB2312"/>
          <w:color w:val="auto"/>
          <w:spacing w:val="8"/>
          <w:kern w:val="2"/>
          <w:sz w:val="32"/>
          <w:szCs w:val="22"/>
          <w:lang w:val="en-US" w:eastAsia="zh-CN" w:bidi="ar-SA"/>
        </w:rPr>
        <w:t>以习近平新时代中国特色社会主义思想为指导，全面贯彻党的二十大精神，深入贯彻习近平生态文明思想，着力践行绿水青山就是金山银山理念，坚持精准治污、科学治污、依法治污，以水生态环境质量持续改善为目标，持续深化入河排污口排查整治与监督管理，有效管控入河污染物排放，不断提升生态环境治理能力和水平。</w:t>
      </w:r>
    </w:p>
    <w:p>
      <w:pPr>
        <w:pStyle w:val="10"/>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3" w:firstLineChars="200"/>
        <w:jc w:val="both"/>
        <w:textAlignment w:val="auto"/>
        <w:outlineLvl w:val="9"/>
        <w:rPr>
          <w:rFonts w:hint="eastAsia" w:ascii="仿宋_GB2312" w:hAnsi="仿宋_GB2312" w:eastAsia="仿宋_GB2312" w:cs="仿宋_GB2312"/>
          <w:spacing w:val="8"/>
          <w:kern w:val="2"/>
          <w:sz w:val="32"/>
          <w:szCs w:val="22"/>
          <w:lang w:val="en-US" w:eastAsia="zh-CN" w:bidi="ar-SA"/>
        </w:rPr>
      </w:pPr>
      <w:r>
        <w:rPr>
          <w:rFonts w:hint="eastAsia" w:ascii="楷体" w:hAnsi="楷体" w:eastAsia="楷体" w:cs="楷体"/>
          <w:b/>
          <w:bCs/>
          <w:kern w:val="2"/>
          <w:sz w:val="32"/>
          <w:szCs w:val="32"/>
          <w:lang w:val="en-US" w:eastAsia="zh-CN" w:bidi="ar-SA"/>
        </w:rPr>
        <w:t>(二)目标任务。</w:t>
      </w:r>
      <w:r>
        <w:rPr>
          <w:rFonts w:hint="eastAsia" w:ascii="仿宋_GB2312" w:hAnsi="仿宋_GB2312" w:eastAsia="仿宋_GB2312" w:cs="仿宋_GB2312"/>
          <w:spacing w:val="8"/>
          <w:kern w:val="2"/>
          <w:sz w:val="32"/>
          <w:szCs w:val="22"/>
          <w:lang w:val="en-US" w:eastAsia="zh-CN" w:bidi="ar-SA"/>
        </w:rPr>
        <w:t>全面开展入河排污问题整治，实现全区排 污口“查、测、溯、治” 区域全覆盖、类型全覆盖，推动建立责任明晰、设置合理、管理规范的排污口长效监督管理机制。</w:t>
      </w:r>
    </w:p>
    <w:p>
      <w:pPr>
        <w:pageBreakBefore w:val="0"/>
        <w:kinsoku/>
        <w:wordWrap/>
        <w:overflowPunct/>
        <w:topLinePunct w:val="0"/>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2023年底前，完成全区所有排污口和城镇雨洪排口的排查，完成全区工业企业、工业园区、城镇污水处理厂入河排污口整治。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2024年10月底前，基本完成干流和主要支流、重点湖库排污口整治，完成晴天排水的城镇雨洪排口整治，基本解决污水违规溢流直排问题。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2025年10月底前，完成全区所有排污口整治，依托“浙里碧水”应用，实现排污口“一张图”全过程动态监督管理，推动建成权责清晰、监控到位、管理规范的排污口长效监管体系。</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643" w:firstLineChars="200"/>
        <w:jc w:val="left"/>
        <w:textAlignment w:val="auto"/>
        <w:outlineLvl w:val="9"/>
        <w:rPr>
          <w:rFonts w:hint="eastAsia" w:ascii="仿宋_GB2312" w:hAnsi="仿宋_GB2312" w:eastAsia="仿宋_GB2312" w:cs="仿宋_GB2312"/>
          <w:sz w:val="32"/>
          <w:szCs w:val="32"/>
          <w:lang w:eastAsia="zh-CN"/>
        </w:rPr>
      </w:pPr>
      <w:r>
        <w:rPr>
          <w:rFonts w:hint="eastAsia" w:ascii="楷体" w:hAnsi="楷体" w:eastAsia="楷体" w:cs="楷体"/>
          <w:b/>
          <w:bCs/>
          <w:kern w:val="2"/>
          <w:sz w:val="32"/>
          <w:szCs w:val="32"/>
          <w:lang w:val="en-US" w:eastAsia="zh-CN" w:bidi="ar-SA"/>
        </w:rPr>
        <w:t>（三）排查范围和对象。</w:t>
      </w:r>
      <w:r>
        <w:rPr>
          <w:rFonts w:hint="eastAsia" w:ascii="仿宋_GB2312" w:hAnsi="仿宋_GB2312" w:eastAsia="仿宋_GB2312" w:cs="仿宋_GB2312"/>
          <w:kern w:val="2"/>
          <w:sz w:val="32"/>
          <w:szCs w:val="32"/>
          <w:lang w:val="en-US" w:eastAsia="zh-CN" w:bidi="ar-SA"/>
        </w:rPr>
        <w:t>本次工作排查范围为全区所有村级及以上河道，排查对象为入河排污口：指直接或通过管道、沟、渠等排污通道向环境水体排放污水的入河排污口和雨洪排口。</w:t>
      </w:r>
    </w:p>
    <w:p>
      <w:pPr>
        <w:pStyle w:val="24"/>
        <w:pageBreakBefore w:val="0"/>
        <w:numPr>
          <w:ilvl w:val="0"/>
          <w:numId w:val="0"/>
        </w:numPr>
        <w:kinsoku/>
        <w:wordWrap/>
        <w:overflowPunct/>
        <w:topLinePunct w:val="0"/>
        <w:bidi w:val="0"/>
        <w:adjustRightInd/>
        <w:snapToGrid/>
        <w:spacing w:line="560" w:lineRule="exact"/>
        <w:ind w:left="0" w:leftChars="0" w:right="0" w:rightChars="0" w:firstLine="640" w:firstLineChars="200"/>
        <w:textAlignment w:val="auto"/>
        <w:outlineLvl w:val="0"/>
        <w:rPr>
          <w:rFonts w:hint="eastAsia"/>
          <w:sz w:val="32"/>
          <w:szCs w:val="32"/>
        </w:rPr>
      </w:pPr>
      <w:r>
        <w:rPr>
          <w:rFonts w:hint="eastAsia" w:ascii="黑体" w:hAnsi="Times New Roman" w:eastAsia="黑体" w:cs="Times New Roman"/>
          <w:sz w:val="32"/>
          <w:szCs w:val="32"/>
          <w:lang w:eastAsia="zh-CN"/>
        </w:rPr>
        <w:t>二、</w:t>
      </w:r>
      <w:r>
        <w:rPr>
          <w:rFonts w:hint="eastAsia" w:ascii="黑体" w:hAnsi="Times New Roman" w:eastAsia="黑体" w:cs="Times New Roman"/>
          <w:sz w:val="32"/>
          <w:szCs w:val="32"/>
        </w:rPr>
        <w:t>工作内容</w:t>
      </w:r>
    </w:p>
    <w:p>
      <w:pPr>
        <w:pageBreakBefore w:val="0"/>
        <w:kinsoku/>
        <w:wordWrap/>
        <w:overflowPunct/>
        <w:topLinePunct w:val="0"/>
        <w:bidi w:val="0"/>
        <w:adjustRightInd/>
        <w:snapToGrid/>
        <w:spacing w:line="560" w:lineRule="exact"/>
        <w:ind w:left="0" w:leftChars="0" w:right="0" w:rightChars="0"/>
        <w:textAlignment w:val="auto"/>
        <w:rPr>
          <w:rFonts w:ascii="楷体" w:hAnsi="楷体" w:eastAsia="楷体" w:cs="楷体"/>
          <w:b/>
          <w:bCs/>
          <w:sz w:val="32"/>
          <w:szCs w:val="32"/>
        </w:rPr>
      </w:pPr>
      <w:r>
        <w:rPr>
          <w:rFonts w:ascii="楷体" w:hAnsi="楷体" w:eastAsia="楷体" w:cs="楷体"/>
          <w:b/>
          <w:bCs/>
          <w:sz w:val="32"/>
          <w:szCs w:val="32"/>
        </w:rPr>
        <w:t>(一)开展排查溯源</w:t>
      </w:r>
    </w:p>
    <w:p>
      <w:pPr>
        <w:pStyle w:val="10"/>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1.建立底数清单。以国库断面沙金兰库中，省控断面河盘桥、婺城大桥；市控交接断面沈村断面上游集水区域涉及的乡镇为重点排查区域，其中省、市级河道以衢江、金华江、梅溪、白沙溪等河流为重点排查对象。根据《入河（海）排污口三级排查技术 指南》，按照“有口皆查、应查尽查”要求，综合运用遥感监测、水面航测、水下探测、机器人管线排查等实用技术，开展深入排查，摸清掌握各类排污口的分布及数量、污水排放特征及去向、排污单位基本情况等信息，建立排污口“ 一口一档”清单。（区生态环境分局牵头，区治水办、区住建局、区交通局、区水务局、区农业农村局、区市场监管局、区综合执法局按职责分工负责；各乡镇街道落实。以下各项工作均需各乡镇街道落实，不再列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2.统筹整合信息，突出核心重点：全面收集整理各类入河（湖）排污口、水系分布等相关信息资料，将</w:t>
      </w:r>
      <w:r>
        <w:rPr>
          <w:rFonts w:hint="eastAsia" w:ascii="仿宋_GB2312" w:hAnsi="仿宋_GB2312" w:eastAsia="仿宋_GB2312" w:cs="仿宋_GB2312"/>
          <w:lang w:eastAsia="zh-CN"/>
        </w:rPr>
        <w:t>原来分散的生态环境部门（治水办、河长办）污染源及排污口监管信息，水利部门河湖水系信息，建设部门（综合行政执法部门）雨污管网、污水处理厂、农村污水处理终端等信息，农业农村、港航渔业、交通运输等部门有关涉水排放信息等全口径进行有效整合，为全面排查奠定基础。具体包含规划环评、政策建议、研究报告、评估文件、涉水环境投诉举报信息、水污染事件案件信息、媒体新闻报道、生态环境保护督察发现的问题信息和处理结果</w:t>
      </w:r>
      <w:r>
        <w:rPr>
          <w:rFonts w:hint="eastAsia" w:ascii="仿宋_GB2312" w:hAnsi="仿宋_GB2312" w:eastAsia="仿宋_GB2312" w:cs="仿宋_GB2312"/>
          <w:lang w:val="en-US" w:eastAsia="zh-CN"/>
        </w:rPr>
        <w:t>等水资源利用、水污染防治、水生态保护相关信息；包含行政区划图、水系图、岸线图、敏感区图、地下管网分布图、功能区划图等基本图件；行政区划边界资料，水系水文资料、历史上已掌握的入河排污口信息和相关监管、整治资料，饮用水水源保护区、自然保护区、水功能区划、生态保护红线区等环境敏感区资料。</w:t>
      </w:r>
    </w:p>
    <w:p>
      <w:pPr>
        <w:pStyle w:val="10"/>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200"/>
        <w:jc w:val="both"/>
        <w:textAlignment w:val="auto"/>
        <w:outlineLvl w:val="9"/>
        <w:rPr>
          <w:rFonts w:hint="eastAsia" w:ascii="仿宋_GB2312" w:hAnsi="仿宋_GB2312" w:eastAsia="仿宋_GB2312" w:cs="仿宋_GB2312"/>
          <w:kern w:val="2"/>
          <w:sz w:val="32"/>
          <w:szCs w:val="22"/>
          <w:lang w:val="en-US" w:eastAsia="zh-CN" w:bidi="ar-SA"/>
        </w:rPr>
      </w:pPr>
      <w:r>
        <w:rPr>
          <w:rFonts w:hint="eastAsia" w:ascii="仿宋_GB2312" w:hAnsi="仿宋_GB2312" w:eastAsia="仿宋_GB2312" w:cs="仿宋_GB2312"/>
          <w:kern w:val="2"/>
          <w:sz w:val="32"/>
          <w:szCs w:val="22"/>
          <w:lang w:val="en-US" w:eastAsia="zh-CN" w:bidi="ar-SA"/>
        </w:rPr>
        <w:t>3.开展水质监测。按照 “边排查、边监测”要求，依据有关技术规范，对各类排污口开展水质、水量监测。在全面分析排污（水）管网走向和河道水体流向的基础上，尽可能选取污染较重时段开展监测，准确识别排放量大、排放水质较差、环境影响明显的排污口及主要排污问题。雨污混排等间歇性排放口的监测结果应充分反映晴天和雨后排放情况，查清污水混入状况。（区生态环境分局牵头，区住建局、区交通局、区水务局、区农业农村局、区自然资源和规划分局配合）</w:t>
      </w:r>
    </w:p>
    <w:p>
      <w:pPr>
        <w:pStyle w:val="10"/>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200"/>
        <w:jc w:val="both"/>
        <w:textAlignment w:val="auto"/>
        <w:outlineLvl w:val="9"/>
        <w:rPr>
          <w:rFonts w:hint="eastAsia" w:ascii="仿宋_GB2312" w:hAnsi="仿宋_GB2312" w:eastAsia="仿宋_GB2312" w:cs="仿宋_GB2312"/>
          <w:kern w:val="2"/>
          <w:sz w:val="32"/>
          <w:szCs w:val="22"/>
          <w:lang w:val="en-US" w:eastAsia="zh-CN" w:bidi="ar-SA"/>
        </w:rPr>
      </w:pPr>
      <w:r>
        <w:rPr>
          <w:rFonts w:hint="eastAsia" w:ascii="仿宋_GB2312" w:hAnsi="仿宋_GB2312" w:eastAsia="仿宋_GB2312" w:cs="仿宋_GB2312"/>
          <w:kern w:val="2"/>
          <w:sz w:val="32"/>
          <w:szCs w:val="22"/>
          <w:lang w:val="en-US" w:eastAsia="zh-CN" w:bidi="ar-SA"/>
        </w:rPr>
        <w:t>4.确定责任主体。按照 “谁污染、谁治理”和政府兜底的原则，逐一明确排污口责任主体，建立责任主体清单。对于难以分清责任主体的排污口，由区生态环境分局开展溯 源分析，查清排污口对应的排污单位及其隶属关系，确定责任主体；经溯源分析仍无法确定责任主体的，由所在乡镇街道作为责任主体。责任主体负责源头治理以及排污口整治、规范化建设、维护管理等。（区生态环境分局、区住建局、区交通局、区水务局、区农业农村局、区自然资源和规划分局按职责分工负责）</w:t>
      </w:r>
    </w:p>
    <w:p>
      <w:pPr>
        <w:pStyle w:val="10"/>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200"/>
        <w:jc w:val="both"/>
        <w:textAlignment w:val="auto"/>
        <w:outlineLvl w:val="9"/>
        <w:rPr>
          <w:rFonts w:hint="eastAsia" w:ascii="仿宋_GB2312" w:hAnsi="仿宋_GB2312" w:eastAsia="仿宋_GB2312" w:cs="仿宋_GB2312"/>
          <w:kern w:val="2"/>
          <w:sz w:val="32"/>
          <w:szCs w:val="22"/>
          <w:lang w:val="en-US" w:eastAsia="zh-CN" w:bidi="ar-SA"/>
        </w:rPr>
      </w:pPr>
      <w:r>
        <w:rPr>
          <w:rFonts w:hint="eastAsia" w:ascii="仿宋_GB2312" w:hAnsi="仿宋_GB2312" w:eastAsia="仿宋_GB2312" w:cs="仿宋_GB2312"/>
          <w:kern w:val="2"/>
          <w:sz w:val="32"/>
          <w:szCs w:val="22"/>
          <w:lang w:val="en-US" w:eastAsia="zh-CN" w:bidi="ar-SA"/>
        </w:rPr>
        <w:t>5.“一口一档”，健全台账。根据排查及监测的排污口底数信息，建立入河排污口和城镇雨洪排口名录清单，并编制排查报告。排污口名录清单及排查报告须镇乡人民政府、街道办事处审核通过后，于2023年12月31日前报区领导小组办公室，区领导小组办公室会同区级相关部门审定后，初步形成全区排污口和城镇雨洪排口名录清单。</w:t>
      </w:r>
    </w:p>
    <w:p>
      <w:pPr>
        <w:pageBreakBefore w:val="0"/>
        <w:kinsoku/>
        <w:wordWrap/>
        <w:overflowPunct/>
        <w:topLinePunct w:val="0"/>
        <w:bidi w:val="0"/>
        <w:adjustRightInd/>
        <w:snapToGrid/>
        <w:spacing w:line="560" w:lineRule="exact"/>
        <w:ind w:left="0" w:leftChars="0" w:right="0" w:rightChars="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（二）分类整治阶段</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640" w:firstLineChars="200"/>
        <w:jc w:val="left"/>
        <w:textAlignment w:val="auto"/>
        <w:outlineLvl w:val="9"/>
        <w:rPr>
          <w:rFonts w:hint="eastAsia" w:ascii="仿宋_GB2312" w:hAnsi="仿宋_GB2312" w:eastAsia="仿宋_GB2312" w:cs="仿宋_GB2312"/>
          <w:kern w:val="2"/>
          <w:sz w:val="32"/>
          <w:szCs w:val="22"/>
          <w:lang w:val="en-US" w:eastAsia="zh-CN" w:bidi="ar-SA"/>
        </w:rPr>
      </w:pPr>
      <w:r>
        <w:rPr>
          <w:rFonts w:hint="eastAsia" w:ascii="仿宋_GB2312" w:hAnsi="仿宋_GB2312" w:eastAsia="仿宋_GB2312" w:cs="仿宋_GB2312"/>
          <w:kern w:val="2"/>
          <w:sz w:val="32"/>
          <w:szCs w:val="22"/>
          <w:lang w:val="en-US" w:eastAsia="zh-CN" w:bidi="ar-SA"/>
        </w:rPr>
        <w:t>1.命名编码，信息管理。根据排污口责任主体所属行业、排放废水组成及特征，按照生态环境部印发的《入河（海）排污口命名与编码规则》（HJ1235—2021）等排污口监督管理相关技术指南，婺城生态环境分局对所有排污口进行规范命名和编码，将排污口分为工业排污口、城镇污水处理厂排污口、农业排口、其他排口四种类型，确保每个排污口对应一个“身份信息”，2024年2月底前，将信息录入“浙里碧水”应用，实现入河排污口“户籍管理”。（区生态环境分、区水务局、区农业农村局、区综合行政执法局、区住建局按职责分工负责）</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640" w:firstLineChars="200"/>
        <w:jc w:val="left"/>
        <w:textAlignment w:val="auto"/>
        <w:outlineLvl w:val="9"/>
        <w:rPr>
          <w:rFonts w:hint="eastAsia" w:ascii="仿宋_GB2312" w:hAnsi="仿宋_GB2312" w:eastAsia="仿宋_GB2312" w:cs="仿宋_GB2312"/>
          <w:kern w:val="2"/>
          <w:sz w:val="32"/>
          <w:szCs w:val="22"/>
          <w:lang w:val="en-US" w:eastAsia="zh-CN" w:bidi="ar-SA"/>
        </w:rPr>
      </w:pPr>
      <w:r>
        <w:rPr>
          <w:rFonts w:hint="eastAsia" w:ascii="仿宋_GB2312" w:hAnsi="仿宋_GB2312" w:eastAsia="仿宋_GB2312" w:cs="仿宋_GB2312"/>
          <w:kern w:val="2"/>
          <w:sz w:val="32"/>
          <w:szCs w:val="22"/>
          <w:lang w:val="en-US" w:eastAsia="zh-CN" w:bidi="ar-SA"/>
        </w:rPr>
        <w:t>2.精准分析，分类整治。在排查溯源形成的入河排污口责任主体清单基础上，逐个分析排污口存在问题、风险隐患，对排查、溯源后判定存在设置不合法、建设不规范和排污不合理等问题的入河排污口，按照“取缔一批、合并一批、规范一批”的要求分类推进排污口整治。按照“一口一策”工作原则，对区域排污口明确分类整治策略，并逐个排污口明确整治具体措施、整治目标、完成时限、责任主体、责任人和联系方式等。编制“一口一策”整治方案，并形成分类整治具体清单。</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640" w:firstLineChars="200"/>
        <w:jc w:val="left"/>
        <w:textAlignment w:val="auto"/>
        <w:outlineLvl w:val="9"/>
        <w:rPr>
          <w:rFonts w:hint="eastAsia" w:ascii="仿宋_GB2312" w:hAnsi="仿宋_GB2312" w:eastAsia="仿宋_GB2312" w:cs="仿宋_GB2312"/>
          <w:kern w:val="2"/>
          <w:sz w:val="32"/>
          <w:szCs w:val="22"/>
          <w:lang w:val="en-US" w:eastAsia="zh-CN" w:bidi="ar-SA"/>
        </w:rPr>
      </w:pPr>
      <w:r>
        <w:rPr>
          <w:rFonts w:hint="eastAsia" w:ascii="仿宋_GB2312" w:hAnsi="仿宋_GB2312" w:eastAsia="仿宋_GB2312" w:cs="仿宋_GB2312"/>
          <w:kern w:val="2"/>
          <w:sz w:val="32"/>
          <w:szCs w:val="22"/>
          <w:lang w:val="en-US" w:eastAsia="zh-CN" w:bidi="ar-SA"/>
        </w:rPr>
        <w:t>对违法违规入河排污口予以拆除关闭；合并后集中处理设施可以有效处理其污水的入河排污口予以清理合并；确需保留的入河排污口按照有利于明晰责任、有利于维护管理、有利于环境监督的要求进行整改规范。问题简单、可立行立改的排污口可在排查溯源阶段直接按照相关技术要点进行整治；对不能立即整治的排污口要逐一明确排污口整治目标、完成时限、具体措施、资金投入、责任主体与责任人等信息，按时完成整治任务。对整治难度较高，或者确有困难、短期内难以完成整治的入河排污口，可合理设置过渡期，最长不超过1年。整治结果及相关佐证材料经镇乡人民政府、街道办事处审核后报送区领导小组办公室。（区生态环境分局牵头，区“五水共治”办、区水务局、区农业农村局、区综合行政执法局、区住建局配合）</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640" w:firstLineChars="200"/>
        <w:jc w:val="left"/>
        <w:textAlignment w:val="auto"/>
        <w:outlineLvl w:val="9"/>
        <w:rPr>
          <w:rFonts w:hint="eastAsia" w:ascii="仿宋_GB2312" w:hAnsi="仿宋_GB2312" w:eastAsia="仿宋_GB2312" w:cs="仿宋_GB2312"/>
          <w:kern w:val="2"/>
          <w:sz w:val="32"/>
          <w:szCs w:val="22"/>
          <w:lang w:val="en-US" w:eastAsia="zh-CN" w:bidi="ar-SA"/>
        </w:rPr>
      </w:pPr>
      <w:r>
        <w:rPr>
          <w:rFonts w:hint="eastAsia" w:ascii="仿宋_GB2312" w:hAnsi="仿宋_GB2312" w:eastAsia="仿宋_GB2312" w:cs="仿宋_GB2312"/>
          <w:kern w:val="2"/>
          <w:sz w:val="32"/>
          <w:szCs w:val="22"/>
          <w:lang w:val="en-US" w:eastAsia="zh-CN" w:bidi="ar-SA"/>
        </w:rPr>
        <w:t>3.动态管理，及时销号。区领导小组办公室组织相关部门对辖区内的排口整治内容进行100%书面复核，抽取不低于辖区内20%的排口开展现场复核，力争到 2025年，所有排污口和城镇雨洪排口完成第一轮现场复核，重点抽查排查、整治质量和成效等问题，发现问题及时通报相关单位并督促抓好整改。建立排污口整治销号制度，通过审查排污口整治佐证材料、组织市级相关部门开展现场核查等方式，确定销号结果。对不能按时销号的，每周督查排污口整治进度。在“浙里碧水”应用中实时更新排污口整改信息，实现整改动态管理，所有排污口完成整改销号后，形成最终排污口清单。（区生态环境分局牵头，区“五水共治”办、区水务局、区农业农村局、区综合行政执法局、区住建局、区交通局配合）</w:t>
      </w:r>
    </w:p>
    <w:p>
      <w:pPr>
        <w:pageBreakBefore w:val="0"/>
        <w:kinsoku/>
        <w:wordWrap/>
        <w:overflowPunct/>
        <w:topLinePunct w:val="0"/>
        <w:bidi w:val="0"/>
        <w:adjustRightInd/>
        <w:snapToGrid/>
        <w:spacing w:line="560" w:lineRule="exact"/>
        <w:ind w:left="0" w:leftChars="0" w:right="0" w:rightChars="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(三)强化监督管理</w:t>
      </w:r>
    </w:p>
    <w:p>
      <w:pPr>
        <w:pStyle w:val="10"/>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200"/>
        <w:jc w:val="both"/>
        <w:textAlignment w:val="auto"/>
        <w:outlineLvl w:val="9"/>
        <w:rPr>
          <w:rFonts w:hint="eastAsia" w:ascii="仿宋_GB2312" w:hAnsi="仿宋_GB2312" w:eastAsia="仿宋_GB2312" w:cs="仿宋_GB2312"/>
          <w:kern w:val="2"/>
          <w:sz w:val="32"/>
          <w:szCs w:val="22"/>
          <w:lang w:val="en-US" w:eastAsia="zh-CN" w:bidi="ar-SA"/>
        </w:rPr>
      </w:pPr>
      <w:r>
        <w:rPr>
          <w:rFonts w:hint="eastAsia" w:ascii="仿宋_GB2312" w:hAnsi="仿宋_GB2312" w:eastAsia="仿宋_GB2312" w:cs="仿宋_GB2312"/>
          <w:kern w:val="2"/>
          <w:sz w:val="32"/>
          <w:szCs w:val="22"/>
          <w:lang w:val="en-US" w:eastAsia="zh-CN" w:bidi="ar-SA"/>
        </w:rPr>
        <w:t>1.严格规范审批。生态环境部门应依法依规开展入河排污 口设置审核，并根据建设项目环评审批权限，实行分级审核。对未达到水质目标的水功能区，除污水集中处理设施排污口外，原则上禁止新设、改设或者扩大排污口；对可能影响防洪、供 水、堤防安全和河势稳定的入河排污口设置审核，应征求同一级别有管理权限的水行政主管部门意见。落实建设项目“ 多评合一”， 同一建设项目涉及入河排污口设置等事项的，纳入一个环评文件， 出具一个批复。排污口审核信息要及时依法向社会公开。（区生态环境分局牵头，区水务局配合）</w:t>
      </w:r>
    </w:p>
    <w:p>
      <w:pPr>
        <w:pStyle w:val="10"/>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200"/>
        <w:jc w:val="both"/>
        <w:textAlignment w:val="auto"/>
        <w:outlineLvl w:val="9"/>
        <w:rPr>
          <w:rFonts w:hint="eastAsia" w:ascii="仿宋_GB2312" w:hAnsi="仿宋_GB2312" w:eastAsia="仿宋_GB2312" w:cs="仿宋_GB2312"/>
          <w:kern w:val="2"/>
          <w:sz w:val="32"/>
          <w:szCs w:val="22"/>
          <w:lang w:val="en-US" w:eastAsia="zh-CN" w:bidi="ar-SA"/>
        </w:rPr>
      </w:pPr>
      <w:r>
        <w:rPr>
          <w:rFonts w:hint="eastAsia" w:ascii="仿宋_GB2312" w:hAnsi="仿宋_GB2312" w:eastAsia="仿宋_GB2312" w:cs="仿宋_GB2312"/>
          <w:kern w:val="2"/>
          <w:sz w:val="32"/>
          <w:szCs w:val="22"/>
          <w:lang w:val="en-US" w:eastAsia="zh-CN" w:bidi="ar-SA"/>
        </w:rPr>
        <w:t>2.加强日常监管。各乡镇街道根据排污口类型、责任主体 及部门职责等，落实排污口监督管理责任，强化日常监督管理。 生态环境部门统一行使排污口污染排放监督管理和行政执法职 责，并通过核发排污许可证等措施，依法明确排污口责任主体自行监测、信息公开等要求。住建、交通、水利、农业农村等有监督管理权限的部门依法加强监督管理和提供技术指导服务。按照 “双随机、一公开” 的原则，定期对工矿企业、工业 及其他各类园区污水处理厂、城镇污水处理厂排污口开展监测，不能稳定达标的应当加大监测频次。（区治水办牵头，区生态环境分局、 区住建局、区交通局、区水务局、区农业农村局配合）</w:t>
      </w:r>
    </w:p>
    <w:p>
      <w:pPr>
        <w:pStyle w:val="10"/>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200"/>
        <w:jc w:val="both"/>
        <w:textAlignment w:val="auto"/>
        <w:outlineLvl w:val="9"/>
        <w:rPr>
          <w:rFonts w:hint="eastAsia" w:ascii="仿宋_GB2312" w:hAnsi="仿宋_GB2312" w:eastAsia="仿宋_GB2312" w:cs="仿宋_GB2312"/>
          <w:kern w:val="2"/>
          <w:sz w:val="32"/>
          <w:szCs w:val="22"/>
          <w:lang w:val="en-US" w:eastAsia="zh-CN" w:bidi="ar-SA"/>
        </w:rPr>
      </w:pPr>
      <w:r>
        <w:rPr>
          <w:rFonts w:hint="eastAsia" w:ascii="仿宋_GB2312" w:hAnsi="仿宋_GB2312" w:eastAsia="仿宋_GB2312" w:cs="仿宋_GB2312"/>
          <w:kern w:val="2"/>
          <w:sz w:val="32"/>
          <w:szCs w:val="22"/>
          <w:lang w:val="en-US" w:eastAsia="zh-CN" w:bidi="ar-SA"/>
        </w:rPr>
        <w:t>3.严格执法监管。生态环境部门要加大工矿企业排污口环 境执法力度，对违反法律法规规定设置排污口或不按规定排污 的，依法予以处罚；对私设暗管接入他人排污口等逃避监督管 理借道排污的，溯源确定责任主体，依法严厉查处。排污口责任主体应当定期巡查维护排污管道，发现他人借道排污等情况 的，应立即向生态环境部门报告并留存证据。</w:t>
      </w:r>
    </w:p>
    <w:p>
      <w:pPr>
        <w:pStyle w:val="10"/>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200"/>
        <w:jc w:val="both"/>
        <w:textAlignment w:val="auto"/>
        <w:outlineLvl w:val="9"/>
        <w:rPr>
          <w:rFonts w:hint="eastAsia" w:ascii="仿宋_GB2312" w:hAnsi="仿宋_GB2312" w:eastAsia="仿宋_GB2312" w:cs="仿宋_GB2312"/>
          <w:kern w:val="2"/>
          <w:sz w:val="32"/>
          <w:szCs w:val="22"/>
          <w:lang w:val="en-US" w:eastAsia="zh-CN" w:bidi="ar-SA"/>
        </w:rPr>
      </w:pPr>
      <w:r>
        <w:rPr>
          <w:rFonts w:hint="eastAsia" w:ascii="仿宋_GB2312" w:hAnsi="仿宋_GB2312" w:eastAsia="仿宋_GB2312" w:cs="仿宋_GB2312"/>
          <w:kern w:val="2"/>
          <w:sz w:val="32"/>
          <w:szCs w:val="22"/>
          <w:lang w:val="en-US" w:eastAsia="zh-CN" w:bidi="ar-SA"/>
        </w:rPr>
        <w:t>4.推进数字化管理。依托“浙里碧水”建设排污口监督管理平台，建立统一的排污口动态数据库。加强部门协同，强化数据共享，构建“受纳水体—排污口—排污通道—排污单位”全过程监督管理体系，实现排污口排查整治、设置审批、日常监管等“一张图”管理。</w:t>
      </w:r>
    </w:p>
    <w:p>
      <w:pPr>
        <w:pageBreakBefore w:val="0"/>
        <w:kinsoku/>
        <w:wordWrap/>
        <w:overflowPunct/>
        <w:topLinePunct w:val="0"/>
        <w:bidi w:val="0"/>
        <w:adjustRightInd/>
        <w:snapToGrid/>
        <w:spacing w:line="560" w:lineRule="exact"/>
        <w:ind w:left="0" w:leftChars="0" w:right="0" w:rightChars="0"/>
        <w:textAlignment w:val="auto"/>
        <w:rPr>
          <w:rFonts w:ascii="黑体" w:hAnsi="黑体" w:eastAsia="黑体" w:cs="黑体"/>
          <w:sz w:val="32"/>
          <w:szCs w:val="32"/>
        </w:rPr>
      </w:pPr>
      <w:r>
        <w:rPr>
          <w:rFonts w:hint="eastAsia" w:ascii="黑体" w:hAnsi="黑体" w:eastAsia="黑体" w:cs="黑体"/>
          <w:spacing w:val="5"/>
          <w:sz w:val="32"/>
          <w:szCs w:val="32"/>
          <w:lang w:eastAsia="zh-CN"/>
        </w:rPr>
        <w:t>三</w:t>
      </w:r>
      <w:r>
        <w:rPr>
          <w:rFonts w:ascii="黑体" w:hAnsi="黑体" w:eastAsia="黑体" w:cs="黑体"/>
          <w:spacing w:val="5"/>
          <w:sz w:val="32"/>
          <w:szCs w:val="32"/>
        </w:rPr>
        <w:t>、落实保障措施</w:t>
      </w:r>
    </w:p>
    <w:p>
      <w:pPr>
        <w:pStyle w:val="10"/>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80" w:firstLineChars="200"/>
        <w:jc w:val="both"/>
        <w:textAlignment w:val="auto"/>
        <w:outlineLvl w:val="9"/>
        <w:rPr>
          <w:rFonts w:hint="eastAsia" w:ascii="Calibri" w:hAnsi="Calibri" w:eastAsia="仿宋-GB2312" w:cs="Times New Roman"/>
          <w:kern w:val="2"/>
          <w:sz w:val="32"/>
          <w:szCs w:val="22"/>
          <w:lang w:val="en-US" w:eastAsia="zh-CN" w:bidi="ar-SA"/>
        </w:rPr>
      </w:pPr>
      <w:r>
        <w:rPr>
          <w:rFonts w:ascii="楷体" w:hAnsi="楷体" w:eastAsia="楷体" w:cs="楷体"/>
          <w:spacing w:val="10"/>
          <w:sz w:val="32"/>
          <w:szCs w:val="32"/>
        </w:rPr>
        <w:t>(一)加强组织领导。</w:t>
      </w:r>
      <w:r>
        <w:rPr>
          <w:rFonts w:hint="eastAsia" w:ascii="仿宋_GB2312" w:hAnsi="仿宋_GB2312" w:eastAsia="仿宋_GB2312" w:cs="仿宋_GB2312"/>
          <w:kern w:val="2"/>
          <w:sz w:val="32"/>
          <w:szCs w:val="22"/>
          <w:lang w:val="en-US" w:eastAsia="zh-CN" w:bidi="ar-SA"/>
        </w:rPr>
        <w:t>成立由区政府主要领导为组长，分管领导为副组长，各乡镇街道和区级有关部门主要领导为成员的婺城区入河排污口排查整治行动工作领导小组，下设办公室（与区生态环境分局合署办公），负责统筹推进全区排污口排查整治工作。各乡镇街道要切实承担起组织实施排污口排查整治工作的主体责任，根据实际情况制定辖区内排污口排查整治实施方案。</w:t>
      </w:r>
    </w:p>
    <w:p>
      <w:pPr>
        <w:pStyle w:val="10"/>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64" w:firstLineChars="200"/>
        <w:jc w:val="both"/>
        <w:textAlignment w:val="auto"/>
        <w:outlineLvl w:val="9"/>
        <w:rPr>
          <w:rFonts w:hint="eastAsia" w:ascii="仿宋_GB2312" w:hAnsi="仿宋_GB2312" w:eastAsia="仿宋_GB2312" w:cs="仿宋_GB2312"/>
          <w:kern w:val="2"/>
          <w:sz w:val="32"/>
          <w:szCs w:val="22"/>
          <w:lang w:val="en-US" w:eastAsia="zh-CN" w:bidi="ar-SA"/>
        </w:rPr>
      </w:pPr>
      <w:r>
        <w:rPr>
          <w:rFonts w:ascii="楷体" w:hAnsi="楷体" w:eastAsia="楷体" w:cs="楷体"/>
          <w:spacing w:val="6"/>
          <w:sz w:val="32"/>
          <w:szCs w:val="32"/>
        </w:rPr>
        <w:t>(二)明确部门职责。</w:t>
      </w:r>
      <w:r>
        <w:rPr>
          <w:rFonts w:hint="eastAsia" w:ascii="仿宋_GB2312" w:hAnsi="仿宋_GB2312" w:eastAsia="仿宋_GB2312" w:cs="仿宋_GB2312"/>
          <w:kern w:val="2"/>
          <w:sz w:val="32"/>
          <w:szCs w:val="22"/>
          <w:lang w:val="en-US" w:eastAsia="zh-CN" w:bidi="ar-SA"/>
        </w:rPr>
        <w:t>各相关部门要加强政策协调、业务培训和工作衔接，压实责任，共同推进排污口监督管理。婺城生态环境分局统筹负责工业排污口的排查溯源整治；水务局统筹负责城镇污水处理厂排污口、城镇生活污水散排口、农村污水处理设施排污口、农村生活污水散排口和城镇雨洪排口、溪流、沟渠的排查溯源整治；农业农村局统筹负责农业排口和水产养殖排口的排查溯源整治；其他有关部门按职责分工协作。</w:t>
      </w:r>
    </w:p>
    <w:p>
      <w:pPr>
        <w:pStyle w:val="10"/>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64" w:firstLineChars="200"/>
        <w:jc w:val="both"/>
        <w:textAlignment w:val="auto"/>
        <w:outlineLvl w:val="9"/>
        <w:rPr>
          <w:rFonts w:hint="eastAsia" w:ascii="仿宋_GB2312" w:hAnsi="仿宋_GB2312" w:eastAsia="仿宋_GB2312" w:cs="仿宋_GB2312"/>
          <w:kern w:val="2"/>
          <w:sz w:val="32"/>
          <w:szCs w:val="22"/>
          <w:lang w:val="en-US" w:eastAsia="zh-CN" w:bidi="ar-SA"/>
        </w:rPr>
      </w:pPr>
      <w:r>
        <w:rPr>
          <w:rFonts w:ascii="楷体" w:hAnsi="楷体" w:eastAsia="楷体" w:cs="楷体"/>
          <w:spacing w:val="6"/>
          <w:sz w:val="32"/>
          <w:szCs w:val="32"/>
        </w:rPr>
        <w:t>(三)落实资金保</w:t>
      </w:r>
      <w:r>
        <w:rPr>
          <w:rFonts w:hint="eastAsia" w:ascii="楷体" w:hAnsi="楷体" w:eastAsia="楷体" w:cs="楷体"/>
          <w:spacing w:val="6"/>
          <w:sz w:val="32"/>
          <w:szCs w:val="32"/>
          <w:lang w:eastAsia="zh-CN"/>
        </w:rPr>
        <w:t>障。</w:t>
      </w:r>
      <w:r>
        <w:rPr>
          <w:rFonts w:hint="eastAsia" w:ascii="仿宋_GB2312" w:hAnsi="仿宋_GB2312" w:eastAsia="仿宋_GB2312" w:cs="仿宋_GB2312"/>
          <w:kern w:val="2"/>
          <w:sz w:val="32"/>
          <w:szCs w:val="22"/>
          <w:lang w:val="en-US" w:eastAsia="zh-CN" w:bidi="ar-SA"/>
        </w:rPr>
        <w:t>区财政局统筹负责该项工作的资金保障落实，各部门根据职责分工，要以排污口整治为契机，科学谋划流域治理、黑臭水体治理、市政管网建设等截污治理项目，避免重复建设，积极争取上级资金项目，及时做好资金测算、预算编制、申报等工作。排污口整治经费由排污口责任主体自行承担。</w:t>
      </w:r>
    </w:p>
    <w:p>
      <w:pPr>
        <w:pStyle w:val="10"/>
        <w:pageBreakBefore w:val="0"/>
        <w:kinsoku/>
        <w:wordWrap/>
        <w:overflowPunct/>
        <w:topLinePunct w:val="0"/>
        <w:bidi w:val="0"/>
        <w:adjustRightInd/>
        <w:snapToGrid/>
        <w:spacing w:after="0" w:line="560" w:lineRule="exact"/>
        <w:ind w:left="0" w:leftChars="0" w:right="0" w:rightChars="0" w:firstLine="711"/>
        <w:jc w:val="both"/>
        <w:textAlignment w:val="auto"/>
      </w:pPr>
      <w:r>
        <w:rPr>
          <w:rFonts w:ascii="楷体" w:hAnsi="楷体" w:eastAsia="楷体" w:cs="楷体"/>
          <w:spacing w:val="10"/>
          <w:sz w:val="32"/>
          <w:szCs w:val="32"/>
        </w:rPr>
        <w:t>(四)严格工作考核。</w:t>
      </w:r>
      <w:r>
        <w:rPr>
          <w:rFonts w:hint="eastAsia" w:ascii="仿宋_GB2312" w:hAnsi="仿宋_GB2312" w:eastAsia="仿宋_GB2312" w:cs="仿宋_GB2312"/>
          <w:kern w:val="2"/>
          <w:sz w:val="32"/>
          <w:szCs w:val="22"/>
          <w:lang w:val="en-US" w:eastAsia="zh-CN" w:bidi="ar-SA"/>
        </w:rPr>
        <w:t>入河排污口排查整治目标任务完成情况纳入污染防治攻坚战、美丽婺城建设和“五水共治”年度考核。市级以上现场核查、媒体曝光、群众信访举报等发现的入河排污口未在名录清单内的，考核将予以扣分。区领导小组办公室定期开展督促检查，对履职不力、进展迟缓、弄虚作假的进行通报批评，并纳入区委生态环境保护专项督察和“七张问题清单”。</w:t>
      </w:r>
    </w:p>
    <w:p>
      <w:pPr>
        <w:pStyle w:val="10"/>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80" w:firstLineChars="200"/>
        <w:jc w:val="both"/>
        <w:textAlignment w:val="auto"/>
        <w:outlineLvl w:val="9"/>
        <w:rPr>
          <w:rFonts w:hint="eastAsia" w:ascii="仿宋_GB2312" w:hAnsi="仿宋_GB2312" w:eastAsia="仿宋_GB2312" w:cs="仿宋_GB2312"/>
          <w:kern w:val="2"/>
          <w:sz w:val="32"/>
          <w:szCs w:val="22"/>
          <w:lang w:val="en-US" w:eastAsia="zh-CN" w:bidi="ar-SA"/>
        </w:rPr>
      </w:pPr>
      <w:r>
        <w:rPr>
          <w:rFonts w:ascii="楷体" w:hAnsi="楷体" w:eastAsia="楷体" w:cs="楷体"/>
          <w:spacing w:val="10"/>
          <w:sz w:val="32"/>
          <w:szCs w:val="32"/>
        </w:rPr>
        <w:t>(五)强化公众监督</w:t>
      </w:r>
      <w:r>
        <w:rPr>
          <w:rFonts w:ascii="楷体" w:hAnsi="楷体" w:eastAsia="楷体" w:cs="楷体"/>
          <w:spacing w:val="10"/>
        </w:rPr>
        <w:t>。</w:t>
      </w:r>
      <w:r>
        <w:rPr>
          <w:rFonts w:hint="eastAsia" w:ascii="仿宋_GB2312" w:hAnsi="仿宋_GB2312" w:eastAsia="仿宋_GB2312" w:cs="仿宋_GB2312"/>
          <w:kern w:val="2"/>
          <w:sz w:val="32"/>
          <w:szCs w:val="22"/>
          <w:lang w:val="en-US" w:eastAsia="zh-CN" w:bidi="ar-SA"/>
        </w:rPr>
        <w:t>领导小组办公室将建立入河排污口整 治信息公开制度，在主要媒体和政府网站开设入河排污口整治工作专栏，及时公开整治方案、工作进展及成效，做好排污口 监督管理法律法规和政策的宣传普及。排污口责任主体应通过标识牌、显示屏、网络媒体等渠道主动向社会公开排污口相关信息。建立健全公众监督举报机制，增强公众对污染物排放的监督意识，鼓励公众举报身边的违法排污行为，形成全社会共同监督的良好氛围。</w:t>
      </w:r>
    </w:p>
    <w:p>
      <w:pPr>
        <w:pStyle w:val="10"/>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4" w:firstLineChars="200"/>
        <w:jc w:val="both"/>
        <w:textAlignment w:val="auto"/>
        <w:outlineLvl w:val="9"/>
        <w:rPr>
          <w:rFonts w:ascii="黑体" w:hAnsi="黑体" w:eastAsia="黑体" w:cs="黑体"/>
          <w:spacing w:val="6"/>
          <w:sz w:val="31"/>
          <w:szCs w:val="31"/>
        </w:rPr>
      </w:pPr>
      <w:r>
        <w:rPr>
          <w:rFonts w:hint="eastAsia" w:ascii="黑体" w:hAnsi="黑体" w:eastAsia="黑体" w:cs="黑体"/>
          <w:spacing w:val="6"/>
          <w:sz w:val="31"/>
          <w:szCs w:val="31"/>
          <w:lang w:eastAsia="zh-CN"/>
        </w:rPr>
        <w:t>四</w:t>
      </w:r>
      <w:r>
        <w:rPr>
          <w:rFonts w:ascii="黑体" w:hAnsi="黑体" w:eastAsia="黑体" w:cs="黑体"/>
          <w:spacing w:val="6"/>
          <w:sz w:val="31"/>
          <w:szCs w:val="31"/>
        </w:rPr>
        <w:t>、实施时间</w:t>
      </w:r>
    </w:p>
    <w:p>
      <w:pPr>
        <w:pStyle w:val="10"/>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200"/>
        <w:jc w:val="both"/>
        <w:textAlignment w:val="auto"/>
        <w:outlineLvl w:val="9"/>
        <w:rPr>
          <w:rFonts w:hint="eastAsia" w:ascii="仿宋_GB2312" w:hAnsi="仿宋_GB2312" w:eastAsia="仿宋_GB2312" w:cs="仿宋_GB2312"/>
          <w:kern w:val="2"/>
          <w:sz w:val="32"/>
          <w:szCs w:val="22"/>
          <w:lang w:val="en-US" w:eastAsia="zh-CN" w:bidi="ar-SA"/>
        </w:rPr>
      </w:pPr>
      <w:r>
        <w:rPr>
          <w:rFonts w:hint="eastAsia" w:ascii="仿宋_GB2312" w:hAnsi="仿宋_GB2312" w:eastAsia="仿宋_GB2312" w:cs="仿宋_GB2312"/>
          <w:kern w:val="2"/>
          <w:sz w:val="32"/>
          <w:szCs w:val="22"/>
          <w:lang w:val="en-US" w:eastAsia="zh-CN" w:bidi="ar-SA"/>
        </w:rPr>
        <w:t>本行动方案自印发之日起施行，有效期至2025年12月31日。</w:t>
      </w:r>
    </w:p>
    <w:p>
      <w:pPr>
        <w:pStyle w:val="10"/>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200"/>
        <w:jc w:val="both"/>
        <w:textAlignment w:val="auto"/>
        <w:outlineLvl w:val="9"/>
        <w:rPr>
          <w:rFonts w:hint="eastAsia" w:ascii="仿宋_GB2312" w:hAnsi="仿宋_GB2312" w:eastAsia="仿宋_GB2312" w:cs="仿宋_GB2312"/>
          <w:kern w:val="2"/>
          <w:sz w:val="32"/>
          <w:szCs w:val="22"/>
          <w:lang w:val="en-US" w:eastAsia="zh-CN" w:bidi="ar-SA"/>
        </w:rPr>
      </w:pPr>
    </w:p>
    <w:p>
      <w:pPr>
        <w:pStyle w:val="10"/>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200"/>
        <w:jc w:val="both"/>
        <w:textAlignment w:val="auto"/>
        <w:outlineLvl w:val="9"/>
        <w:rPr>
          <w:rFonts w:hint="eastAsia" w:ascii="Calibri" w:hAnsi="Calibri" w:eastAsia="仿宋-GB2312" w:cs="Times New Roman"/>
          <w:kern w:val="2"/>
          <w:sz w:val="32"/>
          <w:szCs w:val="22"/>
          <w:lang w:val="en-US" w:eastAsia="zh-CN" w:bidi="ar-SA"/>
        </w:rPr>
      </w:pPr>
    </w:p>
    <w:p>
      <w:pPr>
        <w:pStyle w:val="10"/>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0" w:firstLineChars="0"/>
        <w:jc w:val="both"/>
        <w:textAlignment w:val="auto"/>
        <w:outlineLvl w:val="9"/>
        <w:rPr>
          <w:rFonts w:hint="eastAsia" w:ascii="Calibri" w:hAnsi="Calibri" w:eastAsia="仿宋-GB2312" w:cs="Times New Roman"/>
          <w:kern w:val="2"/>
          <w:sz w:val="32"/>
          <w:szCs w:val="22"/>
          <w:lang w:val="en-US" w:eastAsia="zh-CN" w:bidi="ar-SA"/>
        </w:rPr>
      </w:pPr>
    </w:p>
    <w:p>
      <w:pPr>
        <w:pStyle w:val="10"/>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0" w:firstLineChars="0"/>
        <w:jc w:val="both"/>
        <w:textAlignment w:val="auto"/>
        <w:outlineLvl w:val="9"/>
        <w:rPr>
          <w:rFonts w:hint="eastAsia" w:ascii="Calibri" w:hAnsi="Calibri" w:eastAsia="仿宋-GB2312" w:cs="Times New Roman"/>
          <w:kern w:val="2"/>
          <w:sz w:val="32"/>
          <w:szCs w:val="22"/>
          <w:lang w:val="en-US" w:eastAsia="zh-CN" w:bidi="ar-SA"/>
        </w:rPr>
      </w:pPr>
    </w:p>
    <w:p>
      <w:pPr>
        <w:pStyle w:val="10"/>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0" w:firstLineChars="0"/>
        <w:jc w:val="both"/>
        <w:textAlignment w:val="auto"/>
        <w:outlineLvl w:val="9"/>
        <w:rPr>
          <w:rFonts w:hint="eastAsia" w:ascii="Calibri" w:hAnsi="Calibri" w:eastAsia="仿宋-GB2312" w:cs="Times New Roman"/>
          <w:kern w:val="2"/>
          <w:sz w:val="32"/>
          <w:szCs w:val="22"/>
          <w:lang w:val="en-US" w:eastAsia="zh-CN" w:bidi="ar-SA"/>
        </w:rPr>
      </w:pPr>
    </w:p>
    <w:p>
      <w:pPr>
        <w:pStyle w:val="10"/>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0" w:firstLineChars="0"/>
        <w:jc w:val="both"/>
        <w:textAlignment w:val="auto"/>
        <w:outlineLvl w:val="9"/>
        <w:rPr>
          <w:rFonts w:hint="eastAsia" w:ascii="Calibri" w:hAnsi="Calibri" w:eastAsia="仿宋-GB2312" w:cs="Times New Roman"/>
          <w:kern w:val="2"/>
          <w:sz w:val="32"/>
          <w:szCs w:val="22"/>
          <w:lang w:val="en-US" w:eastAsia="zh-CN" w:bidi="ar-SA"/>
        </w:rPr>
      </w:pPr>
    </w:p>
    <w:p>
      <w:pPr>
        <w:pStyle w:val="10"/>
        <w:pageBreakBefore w:val="0"/>
        <w:kinsoku/>
        <w:wordWrap/>
        <w:overflowPunct/>
        <w:topLinePunct w:val="0"/>
        <w:bidi w:val="0"/>
        <w:adjustRightInd/>
        <w:snapToGrid/>
        <w:spacing w:after="0" w:line="560" w:lineRule="exact"/>
        <w:ind w:left="0" w:leftChars="0" w:right="0" w:rightChars="0" w:firstLine="0" w:firstLineChars="0"/>
        <w:textAlignment w:val="auto"/>
        <w:rPr>
          <w:rFonts w:hint="eastAsia" w:ascii="黑体" w:hAnsi="黑体" w:eastAsia="黑体" w:cs="黑体"/>
          <w:sz w:val="32"/>
          <w:szCs w:val="32"/>
        </w:rPr>
      </w:pPr>
      <w:r>
        <w:rPr>
          <w:rFonts w:hint="eastAsia" w:ascii="黑体" w:hAnsi="黑体" w:eastAsia="黑体" w:cs="黑体"/>
          <w:spacing w:val="-9"/>
          <w:sz w:val="32"/>
          <w:szCs w:val="32"/>
        </w:rPr>
        <w:t>附件</w:t>
      </w:r>
    </w:p>
    <w:p>
      <w:pPr>
        <w:pStyle w:val="3"/>
        <w:keepNext/>
        <w:keepLines/>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0"/>
        <w:rPr>
          <w:rFonts w:hint="eastAsia" w:ascii="方正小标宋简体" w:hAnsi="方正小标宋简体" w:eastAsia="方正小标宋简体" w:cs="方正小标宋简体"/>
          <w:sz w:val="44"/>
          <w:szCs w:val="44"/>
          <w:lang w:val="en-US" w:eastAsia="zh-CN"/>
        </w:rPr>
      </w:pPr>
      <w:r>
        <w:rPr>
          <w:rFonts w:hint="eastAsia"/>
          <w:lang w:val="en-US" w:eastAsia="zh-CN"/>
        </w:rPr>
        <w:t xml:space="preserve"> </w:t>
      </w:r>
      <w:r>
        <w:rPr>
          <w:rFonts w:hint="eastAsia" w:ascii="方正小标宋简体" w:hAnsi="方正小标宋简体" w:eastAsia="方正小标宋简体" w:cs="方正小标宋简体"/>
          <w:sz w:val="44"/>
          <w:szCs w:val="44"/>
          <w:lang w:val="en-US" w:eastAsia="zh-CN"/>
        </w:rPr>
        <w:t xml:space="preserve"> </w:t>
      </w:r>
    </w:p>
    <w:p>
      <w:pPr>
        <w:pStyle w:val="3"/>
        <w:keepNext/>
        <w:keepLines/>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0"/>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婺城</w:t>
      </w:r>
      <w:r>
        <w:rPr>
          <w:rFonts w:hint="eastAsia" w:ascii="方正小标宋简体" w:hAnsi="方正小标宋简体" w:eastAsia="方正小标宋简体" w:cs="方正小标宋简体"/>
          <w:sz w:val="44"/>
          <w:szCs w:val="44"/>
        </w:rPr>
        <w:t>区入河排污口排查整治行动工作</w:t>
      </w:r>
    </w:p>
    <w:p>
      <w:pPr>
        <w:pStyle w:val="3"/>
        <w:keepNext/>
        <w:keepLines/>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0"/>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领导小组成员名单</w:t>
      </w:r>
    </w:p>
    <w:p>
      <w:pPr>
        <w:pageBreakBefore w:val="0"/>
        <w:kinsoku/>
        <w:wordWrap/>
        <w:overflowPunct/>
        <w:topLinePunct w:val="0"/>
        <w:bidi w:val="0"/>
        <w:adjustRightInd/>
        <w:snapToGrid/>
        <w:spacing w:line="560" w:lineRule="exact"/>
        <w:ind w:left="0" w:leftChars="0" w:right="0" w:rightChars="0"/>
        <w:textAlignment w:val="auto"/>
        <w:rPr>
          <w:rFonts w:ascii="Arial"/>
          <w:sz w:val="21"/>
        </w:rPr>
      </w:pPr>
    </w:p>
    <w:p>
      <w:pPr>
        <w:pageBreakBefore w:val="0"/>
        <w:kinsoku/>
        <w:wordWrap/>
        <w:overflowPunct/>
        <w:topLinePunct w:val="0"/>
        <w:bidi w:val="0"/>
        <w:adjustRightInd/>
        <w:snapToGrid/>
        <w:spacing w:line="560" w:lineRule="exact"/>
        <w:ind w:left="0" w:leftChars="0" w:right="0" w:rightChars="0"/>
        <w:textAlignment w:val="auto"/>
        <w:rPr>
          <w:rFonts w:ascii="Arial"/>
          <w:sz w:val="21"/>
        </w:rPr>
      </w:pPr>
    </w:p>
    <w:p>
      <w:r>
        <w:rPr>
          <w:b/>
          <w:bCs/>
        </w:rPr>
        <w:t>组  长：</w:t>
      </w:r>
      <w:r>
        <w:rPr>
          <w:rFonts w:hint="eastAsia" w:ascii="仿宋_GB2312" w:hAnsi="仿宋_GB2312" w:eastAsia="仿宋_GB2312" w:cs="仿宋_GB2312"/>
          <w:lang w:eastAsia="zh-CN"/>
        </w:rPr>
        <w:t>徐镜跃</w:t>
      </w:r>
      <w:r>
        <w:rPr>
          <w:rFonts w:hint="eastAsia" w:ascii="仿宋_GB2312" w:hAnsi="仿宋_GB2312" w:eastAsia="仿宋_GB2312" w:cs="仿宋_GB2312"/>
          <w:lang w:val="en-US" w:eastAsia="zh-CN"/>
        </w:rPr>
        <w:t xml:space="preserve">  区委常委、副区长</w:t>
      </w:r>
    </w:p>
    <w:p>
      <w:pPr>
        <w:rPr>
          <w:rFonts w:hint="eastAsia"/>
          <w:lang w:eastAsia="zh-CN"/>
        </w:rPr>
      </w:pPr>
      <w:r>
        <w:rPr>
          <w:b/>
          <w:bCs/>
        </w:rPr>
        <w:t>副组长：</w:t>
      </w:r>
      <w:r>
        <w:rPr>
          <w:rFonts w:hint="eastAsia" w:ascii="仿宋_GB2312" w:hAnsi="仿宋_GB2312" w:eastAsia="仿宋_GB2312" w:cs="仿宋_GB2312"/>
          <w:lang w:eastAsia="zh-CN"/>
        </w:rPr>
        <w:t>吴建禄</w:t>
      </w:r>
      <w:r>
        <w:rPr>
          <w:rFonts w:hint="eastAsia" w:ascii="仿宋_GB2312" w:hAnsi="仿宋_GB2312" w:eastAsia="仿宋_GB2312" w:cs="仿宋_GB2312"/>
          <w:lang w:val="en-US" w:eastAsia="zh-CN"/>
        </w:rPr>
        <w:t xml:space="preserve">  区府办副主任</w:t>
      </w:r>
    </w:p>
    <w:p>
      <w:pPr>
        <w:rPr>
          <w:rFonts w:hint="eastAsia" w:ascii="仿宋_GB2312" w:hAnsi="仿宋_GB2312" w:eastAsia="仿宋_GB2312" w:cs="仿宋_GB2312"/>
          <w:lang w:val="en-US" w:eastAsia="zh-CN"/>
        </w:rPr>
      </w:pPr>
      <w:r>
        <w:rPr>
          <w:rFonts w:hint="eastAsia"/>
          <w:lang w:val="en-US" w:eastAsia="zh-CN"/>
        </w:rPr>
        <w:t xml:space="preserve">      </w:t>
      </w:r>
      <w:r>
        <w:t xml:space="preserve">  </w:t>
      </w:r>
      <w:r>
        <w:rPr>
          <w:rFonts w:hint="eastAsia" w:ascii="仿宋_GB2312" w:hAnsi="仿宋_GB2312" w:eastAsia="仿宋_GB2312" w:cs="仿宋_GB2312"/>
          <w:lang w:eastAsia="zh-CN"/>
        </w:rPr>
        <w:t>陈</w:t>
      </w:r>
      <w:r>
        <w:rPr>
          <w:rFonts w:hint="eastAsia" w:ascii="仿宋_GB2312" w:hAnsi="仿宋_GB2312" w:eastAsia="仿宋_GB2312" w:cs="仿宋_GB2312"/>
          <w:lang w:val="en-US" w:eastAsia="zh-CN"/>
        </w:rPr>
        <w:t xml:space="preserve">  </w:t>
      </w:r>
      <w:r>
        <w:rPr>
          <w:rFonts w:hint="eastAsia" w:ascii="仿宋_GB2312" w:hAnsi="仿宋_GB2312" w:eastAsia="仿宋_GB2312" w:cs="仿宋_GB2312"/>
          <w:lang w:eastAsia="zh-CN"/>
        </w:rPr>
        <w:t>剑</w:t>
      </w:r>
      <w:r>
        <w:rPr>
          <w:rFonts w:hint="eastAsia" w:ascii="仿宋_GB2312" w:hAnsi="仿宋_GB2312" w:eastAsia="仿宋_GB2312" w:cs="仿宋_GB2312"/>
          <w:lang w:val="en-US" w:eastAsia="zh-CN"/>
        </w:rPr>
        <w:t xml:space="preserve">  区生态环境分局局长</w:t>
      </w:r>
    </w:p>
    <w:p>
      <w:pPr>
        <w:rPr>
          <w:rFonts w:hint="eastAsia" w:ascii="仿宋_GB2312" w:hAnsi="仿宋_GB2312" w:eastAsia="仿宋_GB2312" w:cs="仿宋_GB2312"/>
          <w:lang w:val="en-US" w:eastAsia="zh-CN"/>
        </w:rPr>
      </w:pPr>
      <w:r>
        <w:rPr>
          <w:b/>
          <w:bCs/>
        </w:rPr>
        <w:t>成  员：</w:t>
      </w:r>
      <w:r>
        <w:rPr>
          <w:rFonts w:hint="eastAsia" w:ascii="仿宋_GB2312" w:hAnsi="仿宋_GB2312" w:eastAsia="仿宋_GB2312" w:cs="仿宋_GB2312"/>
          <w:lang w:eastAsia="zh-CN"/>
        </w:rPr>
        <w:t>钱</w:t>
      </w:r>
      <w:r>
        <w:rPr>
          <w:rFonts w:hint="eastAsia" w:ascii="仿宋_GB2312" w:hAnsi="仿宋_GB2312" w:eastAsia="仿宋_GB2312" w:cs="仿宋_GB2312"/>
          <w:lang w:val="en-US" w:eastAsia="zh-CN"/>
        </w:rPr>
        <w:t xml:space="preserve">  晓 </w:t>
      </w:r>
      <w:r>
        <w:rPr>
          <w:rFonts w:hint="eastAsia"/>
          <w:lang w:val="en-US" w:eastAsia="zh-CN"/>
        </w:rPr>
        <w:t xml:space="preserve"> </w:t>
      </w:r>
      <w:r>
        <w:rPr>
          <w:rFonts w:hint="eastAsia" w:ascii="仿宋_GB2312" w:hAnsi="仿宋_GB2312" w:eastAsia="仿宋_GB2312" w:cs="仿宋_GB2312"/>
          <w:lang w:val="en-US" w:eastAsia="zh-CN"/>
        </w:rPr>
        <w:t>区治水办综合部部长</w:t>
      </w:r>
    </w:p>
    <w:p>
      <w:pP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xml:space="preserve">        俞叶青  区财政局副局长</w:t>
      </w:r>
    </w:p>
    <w:p>
      <w:pP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xml:space="preserve">        叶国云  区住建局党组成员总工程师</w:t>
      </w:r>
    </w:p>
    <w:p>
      <w:pP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xml:space="preserve">        程增发  区交通局副局长</w:t>
      </w:r>
    </w:p>
    <w:p>
      <w:pP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xml:space="preserve">        王国庆  区水务局党组成员</w:t>
      </w:r>
    </w:p>
    <w:p>
      <w:pP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xml:space="preserve">        陈志强  区农业农村局副局长</w:t>
      </w:r>
    </w:p>
    <w:p>
      <w:pP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xml:space="preserve">        向小军  区综合执法局党组成员办公室主任</w:t>
      </w:r>
    </w:p>
    <w:p>
      <w:pPr>
        <w:pStyle w:val="2"/>
        <w:rPr>
          <w:rFonts w:hint="eastAsia"/>
          <w:lang w:val="en-US" w:eastAsia="zh-CN"/>
        </w:rPr>
      </w:pPr>
      <w:r>
        <w:rPr>
          <w:rFonts w:hint="eastAsia" w:ascii="仿宋_GB2312" w:hAnsi="仿宋_GB2312" w:eastAsia="仿宋_GB2312" w:cs="仿宋_GB2312"/>
          <w:lang w:val="en-US" w:eastAsia="zh-CN"/>
        </w:rPr>
        <w:t xml:space="preserve">        </w:t>
      </w:r>
    </w:p>
    <w:p>
      <w:pP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xml:space="preserve">             </w:t>
      </w:r>
    </w:p>
    <w:p>
      <w:pPr>
        <w:rPr>
          <w:rFonts w:hint="eastAsia" w:ascii="仿宋_GB2312" w:hAnsi="仿宋_GB2312" w:eastAsia="仿宋_GB2312" w:cs="仿宋_GB2312"/>
          <w:kern w:val="2"/>
          <w:sz w:val="32"/>
          <w:szCs w:val="22"/>
          <w:lang w:val="en-US" w:eastAsia="zh-CN" w:bidi="ar-SA"/>
        </w:rPr>
      </w:pPr>
      <w:r>
        <w:rPr>
          <w:rFonts w:hint="eastAsia" w:ascii="仿宋_GB2312" w:hAnsi="仿宋_GB2312" w:eastAsia="仿宋_GB2312" w:cs="仿宋_GB2312"/>
          <w:lang w:val="en-US" w:eastAsia="zh-CN"/>
        </w:rPr>
        <w:t xml:space="preserve">领导小组办公室设在区生态环境分局，负责领导小组的日常工作，陈剑兼任办公室主任。      </w:t>
      </w:r>
    </w:p>
    <w:sectPr>
      <w:footerReference r:id="rId3" w:type="default"/>
      <w:pgSz w:w="11906" w:h="16838"/>
      <w:pgMar w:top="2098" w:right="1474" w:bottom="1984" w:left="1587" w:header="851" w:footer="992" w:gutter="0"/>
      <w:paperSrc/>
      <w:cols w:space="720" w:num="1"/>
      <w:rtlGutter w:val="0"/>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28"/>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GB2312">
    <w:altName w:val="仿宋"/>
    <w:panose1 w:val="00000000000000000000"/>
    <w:charset w:val="00"/>
    <w:family w:val="auto"/>
    <w:pitch w:val="default"/>
    <w:sig w:usb0="00000000" w:usb1="00000000" w:usb2="00000000" w:usb3="00000000" w:csb0="00040001" w:csb1="00000000"/>
  </w:font>
  <w:font w:name="Calibri Light">
    <w:panose1 w:val="020F0302020204030204"/>
    <w:charset w:val="00"/>
    <w:family w:val="swiss"/>
    <w:pitch w:val="default"/>
    <w:sig w:usb0="A00002EF" w:usb1="4000207B" w:usb2="00000000"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rPr>
        <w:rFonts w:ascii="Times New Roman" w:hAnsi="Times New Roman" w:eastAsia="Times New Roman" w:cs="Times New Roman"/>
        <w:sz w:val="18"/>
        <w:szCs w:val="18"/>
      </w:rPr>
    </w:pPr>
    <w:r>
      <w:rPr>
        <w:rFonts w:ascii="Times New Roman" w:hAnsi="Times New Roman" w:eastAsia="Times New Roman" w:cs="Times New Roman"/>
        <w:spacing w:val="-8"/>
        <w:sz w:val="18"/>
        <w:szCs w:val="18"/>
      </w:rPr>
      <w:t>-</w:t>
    </w:r>
    <w:r>
      <w:rPr>
        <w:rFonts w:ascii="Times New Roman" w:hAnsi="Times New Roman" w:eastAsia="Times New Roman" w:cs="Times New Roman"/>
        <w:spacing w:val="23"/>
        <w:sz w:val="18"/>
        <w:szCs w:val="18"/>
      </w:rPr>
      <w:t xml:space="preserve"> </w:t>
    </w:r>
    <w:r>
      <w:rPr>
        <w:rFonts w:ascii="Times New Roman" w:hAnsi="Times New Roman" w:eastAsia="Times New Roman" w:cs="Times New Roman"/>
        <w:spacing w:val="-8"/>
        <w:sz w:val="18"/>
        <w:szCs w:val="18"/>
      </w:rPr>
      <w:t>10</w:t>
    </w:r>
    <w:r>
      <w:rPr>
        <w:rFonts w:ascii="Times New Roman" w:hAnsi="Times New Roman" w:eastAsia="Times New Roman" w:cs="Times New Roman"/>
        <w:spacing w:val="6"/>
        <w:sz w:val="18"/>
        <w:szCs w:val="18"/>
      </w:rPr>
      <w:t xml:space="preserve"> </w:t>
    </w:r>
    <w:r>
      <w:rPr>
        <w:rFonts w:ascii="Times New Roman" w:hAnsi="Times New Roman" w:eastAsia="Times New Roman" w:cs="Times New Roman"/>
        <w:spacing w:val="-8"/>
        <w:sz w:val="18"/>
        <w:szCs w:val="18"/>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B6D0E5"/>
    <w:multiLevelType w:val="singleLevel"/>
    <w:tmpl w:val="41B6D0E5"/>
    <w:lvl w:ilvl="0" w:tentative="0">
      <w:start w:val="1"/>
      <w:numFmt w:val="decimal"/>
      <w:pStyle w:val="23"/>
      <w:lvlText w:val="表%1."/>
      <w:lvlJc w:val="left"/>
      <w:pPr>
        <w:ind w:left="709" w:hanging="425"/>
      </w:pPr>
      <w:rPr>
        <w:rFonts w:hint="default" w:ascii="宋体" w:hAnsi="宋体" w:eastAsia="楷体" w:cs="宋体"/>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220"/>
  <w:displayHorizontalDrawingGridEvery w:val="1"/>
  <w:displayVerticalDrawingGridEvery w:val="2"/>
  <w:noPunctuationKerning w:val="1"/>
  <w:characterSpacingControl w:val="compressPunctuation"/>
  <w:noLineBreaksAfter w:lang="zh-CN" w:val="([{·‘“〈《「『【〔〖（．［｛￡￥"/>
  <w:noLineBreaksBefore w:lang="zh-CN" w:val="!),.:;?]}¨·ˇˉ―‖’”…∶、。〃々〉》」』】〕〗！＂＇），．：；？］｀｜｝～￠"/>
  <w:compat>
    <w:spaceForUL/>
    <w:balanceSingleByteDoubleByteWidth/>
    <w:doNotLeaveBackslashAlon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diYmM0NDI0MDMxMjU1MTYwYWJkZDI4YmRmMDBjMzYifQ=="/>
  </w:docVars>
  <w:rsids>
    <w:rsidRoot w:val="00C763DB"/>
    <w:rsid w:val="00004870"/>
    <w:rsid w:val="00006C3A"/>
    <w:rsid w:val="000259FA"/>
    <w:rsid w:val="00037074"/>
    <w:rsid w:val="00047B66"/>
    <w:rsid w:val="000527F9"/>
    <w:rsid w:val="00066E39"/>
    <w:rsid w:val="00076618"/>
    <w:rsid w:val="000820EA"/>
    <w:rsid w:val="00084DB3"/>
    <w:rsid w:val="000901E9"/>
    <w:rsid w:val="000950CB"/>
    <w:rsid w:val="0009742A"/>
    <w:rsid w:val="000B1398"/>
    <w:rsid w:val="000B26B3"/>
    <w:rsid w:val="000B66BC"/>
    <w:rsid w:val="000C01F4"/>
    <w:rsid w:val="000C6F1E"/>
    <w:rsid w:val="000D522B"/>
    <w:rsid w:val="000D63AA"/>
    <w:rsid w:val="000D735B"/>
    <w:rsid w:val="000E4B5E"/>
    <w:rsid w:val="000E66EE"/>
    <w:rsid w:val="000F2493"/>
    <w:rsid w:val="000F2CFD"/>
    <w:rsid w:val="00104F05"/>
    <w:rsid w:val="001129C8"/>
    <w:rsid w:val="00115302"/>
    <w:rsid w:val="00121A5B"/>
    <w:rsid w:val="00122AF8"/>
    <w:rsid w:val="00134A6C"/>
    <w:rsid w:val="0013711C"/>
    <w:rsid w:val="001439CD"/>
    <w:rsid w:val="001463D2"/>
    <w:rsid w:val="00146A8C"/>
    <w:rsid w:val="00151488"/>
    <w:rsid w:val="00151E65"/>
    <w:rsid w:val="0016115C"/>
    <w:rsid w:val="001628F3"/>
    <w:rsid w:val="0017061E"/>
    <w:rsid w:val="00177087"/>
    <w:rsid w:val="00187DEE"/>
    <w:rsid w:val="00192670"/>
    <w:rsid w:val="00196E00"/>
    <w:rsid w:val="001A0371"/>
    <w:rsid w:val="001A6860"/>
    <w:rsid w:val="001B189D"/>
    <w:rsid w:val="001B3377"/>
    <w:rsid w:val="001C4376"/>
    <w:rsid w:val="001C730B"/>
    <w:rsid w:val="001C7DF6"/>
    <w:rsid w:val="001D4E1D"/>
    <w:rsid w:val="001E2758"/>
    <w:rsid w:val="001E649B"/>
    <w:rsid w:val="001F2365"/>
    <w:rsid w:val="002010B3"/>
    <w:rsid w:val="00210155"/>
    <w:rsid w:val="002345F0"/>
    <w:rsid w:val="00237F83"/>
    <w:rsid w:val="00244E92"/>
    <w:rsid w:val="002474CF"/>
    <w:rsid w:val="00260628"/>
    <w:rsid w:val="0026257F"/>
    <w:rsid w:val="00263841"/>
    <w:rsid w:val="00267832"/>
    <w:rsid w:val="00291A76"/>
    <w:rsid w:val="0029537E"/>
    <w:rsid w:val="002A0CD9"/>
    <w:rsid w:val="002A0E17"/>
    <w:rsid w:val="002B2C37"/>
    <w:rsid w:val="002B31D3"/>
    <w:rsid w:val="002B61F0"/>
    <w:rsid w:val="002C205F"/>
    <w:rsid w:val="002D1F0F"/>
    <w:rsid w:val="002D5E67"/>
    <w:rsid w:val="002E6430"/>
    <w:rsid w:val="002E6E22"/>
    <w:rsid w:val="002E75E4"/>
    <w:rsid w:val="0030006A"/>
    <w:rsid w:val="00301A7A"/>
    <w:rsid w:val="003053D7"/>
    <w:rsid w:val="00310BA0"/>
    <w:rsid w:val="00331DA3"/>
    <w:rsid w:val="00334BC7"/>
    <w:rsid w:val="00343ECF"/>
    <w:rsid w:val="00351F8A"/>
    <w:rsid w:val="00360781"/>
    <w:rsid w:val="00365895"/>
    <w:rsid w:val="00371D0C"/>
    <w:rsid w:val="0037271B"/>
    <w:rsid w:val="0037428C"/>
    <w:rsid w:val="00376C98"/>
    <w:rsid w:val="00377491"/>
    <w:rsid w:val="0039299F"/>
    <w:rsid w:val="003B0EC4"/>
    <w:rsid w:val="003C0A00"/>
    <w:rsid w:val="003E1574"/>
    <w:rsid w:val="003E1979"/>
    <w:rsid w:val="003F4C32"/>
    <w:rsid w:val="00400BCE"/>
    <w:rsid w:val="00402F4E"/>
    <w:rsid w:val="00412941"/>
    <w:rsid w:val="00413FEF"/>
    <w:rsid w:val="00415B31"/>
    <w:rsid w:val="0042266A"/>
    <w:rsid w:val="00426C74"/>
    <w:rsid w:val="004523AC"/>
    <w:rsid w:val="004675C0"/>
    <w:rsid w:val="00490109"/>
    <w:rsid w:val="004A03B5"/>
    <w:rsid w:val="004A08ED"/>
    <w:rsid w:val="004B66C3"/>
    <w:rsid w:val="004C178E"/>
    <w:rsid w:val="004C3B7F"/>
    <w:rsid w:val="004D371F"/>
    <w:rsid w:val="004E03C9"/>
    <w:rsid w:val="004E7337"/>
    <w:rsid w:val="004F200E"/>
    <w:rsid w:val="004F68EC"/>
    <w:rsid w:val="004F7CA7"/>
    <w:rsid w:val="00504191"/>
    <w:rsid w:val="00506873"/>
    <w:rsid w:val="00506875"/>
    <w:rsid w:val="00515949"/>
    <w:rsid w:val="00520AF2"/>
    <w:rsid w:val="0052513D"/>
    <w:rsid w:val="005415C0"/>
    <w:rsid w:val="00541CF3"/>
    <w:rsid w:val="00545980"/>
    <w:rsid w:val="005819F8"/>
    <w:rsid w:val="00585932"/>
    <w:rsid w:val="00587E88"/>
    <w:rsid w:val="005A7BC1"/>
    <w:rsid w:val="005B206D"/>
    <w:rsid w:val="005C18AC"/>
    <w:rsid w:val="005C57B8"/>
    <w:rsid w:val="005E51AF"/>
    <w:rsid w:val="005E657A"/>
    <w:rsid w:val="005F71D5"/>
    <w:rsid w:val="00605934"/>
    <w:rsid w:val="006059B6"/>
    <w:rsid w:val="00641822"/>
    <w:rsid w:val="006463DE"/>
    <w:rsid w:val="00660813"/>
    <w:rsid w:val="00662BDA"/>
    <w:rsid w:val="00663A04"/>
    <w:rsid w:val="006717BE"/>
    <w:rsid w:val="00672497"/>
    <w:rsid w:val="006739E2"/>
    <w:rsid w:val="0067503C"/>
    <w:rsid w:val="00676FB0"/>
    <w:rsid w:val="00677275"/>
    <w:rsid w:val="00677E36"/>
    <w:rsid w:val="006A087E"/>
    <w:rsid w:val="006B12B7"/>
    <w:rsid w:val="006B3CCD"/>
    <w:rsid w:val="006B3D83"/>
    <w:rsid w:val="006C36C6"/>
    <w:rsid w:val="006D5382"/>
    <w:rsid w:val="006F18FF"/>
    <w:rsid w:val="006F1DA9"/>
    <w:rsid w:val="006F7774"/>
    <w:rsid w:val="007078E8"/>
    <w:rsid w:val="00707FA1"/>
    <w:rsid w:val="00722C1F"/>
    <w:rsid w:val="00723410"/>
    <w:rsid w:val="00725D1F"/>
    <w:rsid w:val="00736299"/>
    <w:rsid w:val="00752B40"/>
    <w:rsid w:val="0076331B"/>
    <w:rsid w:val="007807D6"/>
    <w:rsid w:val="00782220"/>
    <w:rsid w:val="007A0CD4"/>
    <w:rsid w:val="007A1BB9"/>
    <w:rsid w:val="007A3DD9"/>
    <w:rsid w:val="007A652D"/>
    <w:rsid w:val="007A789C"/>
    <w:rsid w:val="007C6933"/>
    <w:rsid w:val="007D6FE0"/>
    <w:rsid w:val="007D7D89"/>
    <w:rsid w:val="007E4DDD"/>
    <w:rsid w:val="007F6111"/>
    <w:rsid w:val="007F6DFD"/>
    <w:rsid w:val="0080621F"/>
    <w:rsid w:val="008122EE"/>
    <w:rsid w:val="0081465D"/>
    <w:rsid w:val="00817B1B"/>
    <w:rsid w:val="00822582"/>
    <w:rsid w:val="00826472"/>
    <w:rsid w:val="008327A3"/>
    <w:rsid w:val="008341D0"/>
    <w:rsid w:val="00834DDD"/>
    <w:rsid w:val="008374B7"/>
    <w:rsid w:val="00842C98"/>
    <w:rsid w:val="00871175"/>
    <w:rsid w:val="00882497"/>
    <w:rsid w:val="0088510C"/>
    <w:rsid w:val="008A0B22"/>
    <w:rsid w:val="008B0968"/>
    <w:rsid w:val="008B2A82"/>
    <w:rsid w:val="008C6A57"/>
    <w:rsid w:val="008D7515"/>
    <w:rsid w:val="008E0BD1"/>
    <w:rsid w:val="009135B9"/>
    <w:rsid w:val="00922E8D"/>
    <w:rsid w:val="00926D6C"/>
    <w:rsid w:val="00931F64"/>
    <w:rsid w:val="009320A3"/>
    <w:rsid w:val="00933247"/>
    <w:rsid w:val="00936390"/>
    <w:rsid w:val="0094617F"/>
    <w:rsid w:val="00954CBE"/>
    <w:rsid w:val="00973D91"/>
    <w:rsid w:val="00975530"/>
    <w:rsid w:val="009823AC"/>
    <w:rsid w:val="009A11EE"/>
    <w:rsid w:val="009C1460"/>
    <w:rsid w:val="009C478B"/>
    <w:rsid w:val="009C5903"/>
    <w:rsid w:val="009E46CB"/>
    <w:rsid w:val="009E4B65"/>
    <w:rsid w:val="00A000C4"/>
    <w:rsid w:val="00A00927"/>
    <w:rsid w:val="00A00DF5"/>
    <w:rsid w:val="00A07F2C"/>
    <w:rsid w:val="00A120BD"/>
    <w:rsid w:val="00A13582"/>
    <w:rsid w:val="00A1418F"/>
    <w:rsid w:val="00A333FA"/>
    <w:rsid w:val="00A3496C"/>
    <w:rsid w:val="00A41ECE"/>
    <w:rsid w:val="00A4340F"/>
    <w:rsid w:val="00A43B59"/>
    <w:rsid w:val="00A516FF"/>
    <w:rsid w:val="00A55211"/>
    <w:rsid w:val="00A742C4"/>
    <w:rsid w:val="00A8398A"/>
    <w:rsid w:val="00A8576F"/>
    <w:rsid w:val="00A8632D"/>
    <w:rsid w:val="00A92806"/>
    <w:rsid w:val="00A94E0A"/>
    <w:rsid w:val="00AA6816"/>
    <w:rsid w:val="00AB26E8"/>
    <w:rsid w:val="00AC0544"/>
    <w:rsid w:val="00AC24C2"/>
    <w:rsid w:val="00AC3921"/>
    <w:rsid w:val="00AD1ECF"/>
    <w:rsid w:val="00AD3F6C"/>
    <w:rsid w:val="00AE5687"/>
    <w:rsid w:val="00AE67D4"/>
    <w:rsid w:val="00AF1448"/>
    <w:rsid w:val="00B014DF"/>
    <w:rsid w:val="00B0679D"/>
    <w:rsid w:val="00B07684"/>
    <w:rsid w:val="00B07872"/>
    <w:rsid w:val="00B1044C"/>
    <w:rsid w:val="00B2463D"/>
    <w:rsid w:val="00B27E1A"/>
    <w:rsid w:val="00B3423F"/>
    <w:rsid w:val="00B4145B"/>
    <w:rsid w:val="00B42B9A"/>
    <w:rsid w:val="00B50FDA"/>
    <w:rsid w:val="00B65C10"/>
    <w:rsid w:val="00B7199F"/>
    <w:rsid w:val="00B770FA"/>
    <w:rsid w:val="00B842D4"/>
    <w:rsid w:val="00B9022F"/>
    <w:rsid w:val="00B94D2F"/>
    <w:rsid w:val="00BA6556"/>
    <w:rsid w:val="00BB4049"/>
    <w:rsid w:val="00BB53FB"/>
    <w:rsid w:val="00BC122F"/>
    <w:rsid w:val="00BC40C0"/>
    <w:rsid w:val="00BC41B5"/>
    <w:rsid w:val="00BD70DE"/>
    <w:rsid w:val="00BE16B2"/>
    <w:rsid w:val="00BE1994"/>
    <w:rsid w:val="00BE61FA"/>
    <w:rsid w:val="00BF4891"/>
    <w:rsid w:val="00BF4957"/>
    <w:rsid w:val="00BF7B96"/>
    <w:rsid w:val="00C0199B"/>
    <w:rsid w:val="00C04911"/>
    <w:rsid w:val="00C05592"/>
    <w:rsid w:val="00C139C4"/>
    <w:rsid w:val="00C21CFA"/>
    <w:rsid w:val="00C22682"/>
    <w:rsid w:val="00C24952"/>
    <w:rsid w:val="00C24D34"/>
    <w:rsid w:val="00C34D7A"/>
    <w:rsid w:val="00C64B11"/>
    <w:rsid w:val="00C7331F"/>
    <w:rsid w:val="00C74957"/>
    <w:rsid w:val="00C74BF4"/>
    <w:rsid w:val="00C75CA6"/>
    <w:rsid w:val="00C763DB"/>
    <w:rsid w:val="00C81DD8"/>
    <w:rsid w:val="00C86ED6"/>
    <w:rsid w:val="00CA042F"/>
    <w:rsid w:val="00CA4F37"/>
    <w:rsid w:val="00CA58EC"/>
    <w:rsid w:val="00CA5FB7"/>
    <w:rsid w:val="00CA66B6"/>
    <w:rsid w:val="00CB11B0"/>
    <w:rsid w:val="00CB50C6"/>
    <w:rsid w:val="00CB5B9D"/>
    <w:rsid w:val="00CC04D8"/>
    <w:rsid w:val="00CC7F81"/>
    <w:rsid w:val="00CD2792"/>
    <w:rsid w:val="00CD3657"/>
    <w:rsid w:val="00CD3B06"/>
    <w:rsid w:val="00CD44B3"/>
    <w:rsid w:val="00CE2D4A"/>
    <w:rsid w:val="00CE6ABC"/>
    <w:rsid w:val="00CE7B23"/>
    <w:rsid w:val="00D001D0"/>
    <w:rsid w:val="00D02A32"/>
    <w:rsid w:val="00D06A7F"/>
    <w:rsid w:val="00D34A94"/>
    <w:rsid w:val="00D52ACB"/>
    <w:rsid w:val="00D60C79"/>
    <w:rsid w:val="00D61D52"/>
    <w:rsid w:val="00D65573"/>
    <w:rsid w:val="00D71B4B"/>
    <w:rsid w:val="00D746AC"/>
    <w:rsid w:val="00D829EB"/>
    <w:rsid w:val="00D8592F"/>
    <w:rsid w:val="00D874E4"/>
    <w:rsid w:val="00D91F6D"/>
    <w:rsid w:val="00D925EF"/>
    <w:rsid w:val="00D9778A"/>
    <w:rsid w:val="00DA3EAA"/>
    <w:rsid w:val="00DA556A"/>
    <w:rsid w:val="00DB2382"/>
    <w:rsid w:val="00DB4360"/>
    <w:rsid w:val="00DC47AB"/>
    <w:rsid w:val="00DD0935"/>
    <w:rsid w:val="00DD09E9"/>
    <w:rsid w:val="00DF1D7F"/>
    <w:rsid w:val="00DF2B34"/>
    <w:rsid w:val="00E07DDE"/>
    <w:rsid w:val="00E1633B"/>
    <w:rsid w:val="00E207C5"/>
    <w:rsid w:val="00E21C60"/>
    <w:rsid w:val="00E31233"/>
    <w:rsid w:val="00E34D96"/>
    <w:rsid w:val="00E35C3E"/>
    <w:rsid w:val="00E502C1"/>
    <w:rsid w:val="00E64DC3"/>
    <w:rsid w:val="00E8095A"/>
    <w:rsid w:val="00E817EA"/>
    <w:rsid w:val="00E85E46"/>
    <w:rsid w:val="00E91B93"/>
    <w:rsid w:val="00E96259"/>
    <w:rsid w:val="00EA47EC"/>
    <w:rsid w:val="00EA4D47"/>
    <w:rsid w:val="00EA6625"/>
    <w:rsid w:val="00EB01A7"/>
    <w:rsid w:val="00EB336C"/>
    <w:rsid w:val="00ED3C2E"/>
    <w:rsid w:val="00ED6F7A"/>
    <w:rsid w:val="00EE7CA9"/>
    <w:rsid w:val="00F0360D"/>
    <w:rsid w:val="00F24A70"/>
    <w:rsid w:val="00F256F2"/>
    <w:rsid w:val="00F3069F"/>
    <w:rsid w:val="00F3460F"/>
    <w:rsid w:val="00F43B0E"/>
    <w:rsid w:val="00F61CB9"/>
    <w:rsid w:val="00F6540D"/>
    <w:rsid w:val="00F67D81"/>
    <w:rsid w:val="00F71CD1"/>
    <w:rsid w:val="00F76F45"/>
    <w:rsid w:val="00F8274F"/>
    <w:rsid w:val="00F86544"/>
    <w:rsid w:val="00F86F07"/>
    <w:rsid w:val="00F87E3E"/>
    <w:rsid w:val="00F941B2"/>
    <w:rsid w:val="00FA4970"/>
    <w:rsid w:val="00FB0561"/>
    <w:rsid w:val="00FB43B8"/>
    <w:rsid w:val="00FC33DE"/>
    <w:rsid w:val="00FD677B"/>
    <w:rsid w:val="00FE2D23"/>
    <w:rsid w:val="00FE7520"/>
    <w:rsid w:val="00FF1286"/>
    <w:rsid w:val="00FF399B"/>
    <w:rsid w:val="01A774CD"/>
    <w:rsid w:val="01F97EE8"/>
    <w:rsid w:val="0299695F"/>
    <w:rsid w:val="02C72C76"/>
    <w:rsid w:val="034E6B90"/>
    <w:rsid w:val="035660CB"/>
    <w:rsid w:val="039E1316"/>
    <w:rsid w:val="041C1D99"/>
    <w:rsid w:val="0454113D"/>
    <w:rsid w:val="049461B5"/>
    <w:rsid w:val="062E1DC0"/>
    <w:rsid w:val="064F49ED"/>
    <w:rsid w:val="06581A68"/>
    <w:rsid w:val="066C71D5"/>
    <w:rsid w:val="066C7F21"/>
    <w:rsid w:val="067671EE"/>
    <w:rsid w:val="06B17456"/>
    <w:rsid w:val="06D2195A"/>
    <w:rsid w:val="070E11A8"/>
    <w:rsid w:val="07235BC1"/>
    <w:rsid w:val="073668EC"/>
    <w:rsid w:val="07A94155"/>
    <w:rsid w:val="07D75231"/>
    <w:rsid w:val="09B411C4"/>
    <w:rsid w:val="0A1F29F4"/>
    <w:rsid w:val="0AA34654"/>
    <w:rsid w:val="0AA633ED"/>
    <w:rsid w:val="0B027F75"/>
    <w:rsid w:val="0B0C3D2B"/>
    <w:rsid w:val="0B641939"/>
    <w:rsid w:val="0BB05F2E"/>
    <w:rsid w:val="0C216E2C"/>
    <w:rsid w:val="0D0F2FDA"/>
    <w:rsid w:val="0E97481F"/>
    <w:rsid w:val="0E9A6D22"/>
    <w:rsid w:val="0ED16C9F"/>
    <w:rsid w:val="0EFC0129"/>
    <w:rsid w:val="0F17035E"/>
    <w:rsid w:val="0FA64C52"/>
    <w:rsid w:val="10217544"/>
    <w:rsid w:val="10EA1A8A"/>
    <w:rsid w:val="112178FC"/>
    <w:rsid w:val="114F455C"/>
    <w:rsid w:val="11DC6BDE"/>
    <w:rsid w:val="127F63F2"/>
    <w:rsid w:val="12BF1B4D"/>
    <w:rsid w:val="1303405D"/>
    <w:rsid w:val="13232374"/>
    <w:rsid w:val="135E64D3"/>
    <w:rsid w:val="142C45C0"/>
    <w:rsid w:val="14681B74"/>
    <w:rsid w:val="14972381"/>
    <w:rsid w:val="14A76C6B"/>
    <w:rsid w:val="14BA242F"/>
    <w:rsid w:val="14C36CD2"/>
    <w:rsid w:val="150F3AD3"/>
    <w:rsid w:val="152501F1"/>
    <w:rsid w:val="15663828"/>
    <w:rsid w:val="15D23539"/>
    <w:rsid w:val="15F0245E"/>
    <w:rsid w:val="1655047A"/>
    <w:rsid w:val="168411C4"/>
    <w:rsid w:val="17130780"/>
    <w:rsid w:val="182B7010"/>
    <w:rsid w:val="18AF6EB7"/>
    <w:rsid w:val="19A1335A"/>
    <w:rsid w:val="19BD7FCA"/>
    <w:rsid w:val="19DB2D10"/>
    <w:rsid w:val="1A712054"/>
    <w:rsid w:val="1A853F09"/>
    <w:rsid w:val="1AC02360"/>
    <w:rsid w:val="1AD308A5"/>
    <w:rsid w:val="1B1373DE"/>
    <w:rsid w:val="1B3A2CE5"/>
    <w:rsid w:val="1B7E3953"/>
    <w:rsid w:val="1C456F61"/>
    <w:rsid w:val="1C530B82"/>
    <w:rsid w:val="1C8770A8"/>
    <w:rsid w:val="1C961C2A"/>
    <w:rsid w:val="1CDD28FB"/>
    <w:rsid w:val="1D1D7649"/>
    <w:rsid w:val="1DB75CB8"/>
    <w:rsid w:val="1DDF7A81"/>
    <w:rsid w:val="1DE678A8"/>
    <w:rsid w:val="1EA11509"/>
    <w:rsid w:val="1EA87E80"/>
    <w:rsid w:val="1EFC32D5"/>
    <w:rsid w:val="1FE803AB"/>
    <w:rsid w:val="20DE4E3A"/>
    <w:rsid w:val="21123544"/>
    <w:rsid w:val="211A17BB"/>
    <w:rsid w:val="21535882"/>
    <w:rsid w:val="226461B1"/>
    <w:rsid w:val="22684962"/>
    <w:rsid w:val="22785D71"/>
    <w:rsid w:val="228743AD"/>
    <w:rsid w:val="22C5455D"/>
    <w:rsid w:val="233A3D06"/>
    <w:rsid w:val="238F13C1"/>
    <w:rsid w:val="24235575"/>
    <w:rsid w:val="24347FEB"/>
    <w:rsid w:val="24E70CD9"/>
    <w:rsid w:val="250110FD"/>
    <w:rsid w:val="258A30B8"/>
    <w:rsid w:val="2754325A"/>
    <w:rsid w:val="27FF18C2"/>
    <w:rsid w:val="28300F94"/>
    <w:rsid w:val="28670211"/>
    <w:rsid w:val="290771CA"/>
    <w:rsid w:val="290D6D24"/>
    <w:rsid w:val="29101F7F"/>
    <w:rsid w:val="2927194C"/>
    <w:rsid w:val="293E6380"/>
    <w:rsid w:val="29757C17"/>
    <w:rsid w:val="2A1F32D2"/>
    <w:rsid w:val="2A20477B"/>
    <w:rsid w:val="2B0773CD"/>
    <w:rsid w:val="2B0F5210"/>
    <w:rsid w:val="2B21700A"/>
    <w:rsid w:val="2B8054C5"/>
    <w:rsid w:val="2BB35A09"/>
    <w:rsid w:val="2BBE44FF"/>
    <w:rsid w:val="2CBF4B8C"/>
    <w:rsid w:val="2D6329A9"/>
    <w:rsid w:val="2DE0224B"/>
    <w:rsid w:val="2EAC60A6"/>
    <w:rsid w:val="2ECA1A4F"/>
    <w:rsid w:val="2EE0793D"/>
    <w:rsid w:val="2FA76993"/>
    <w:rsid w:val="2FA8384B"/>
    <w:rsid w:val="3043775B"/>
    <w:rsid w:val="30CA7007"/>
    <w:rsid w:val="30D569E6"/>
    <w:rsid w:val="31E66B3B"/>
    <w:rsid w:val="322F648D"/>
    <w:rsid w:val="323D694A"/>
    <w:rsid w:val="32B76BDC"/>
    <w:rsid w:val="32EA7018"/>
    <w:rsid w:val="33411122"/>
    <w:rsid w:val="33786BB0"/>
    <w:rsid w:val="33CD3EE8"/>
    <w:rsid w:val="341245E4"/>
    <w:rsid w:val="342D5ABF"/>
    <w:rsid w:val="343E08FA"/>
    <w:rsid w:val="344263D8"/>
    <w:rsid w:val="3447066C"/>
    <w:rsid w:val="34A26AFE"/>
    <w:rsid w:val="34B54342"/>
    <w:rsid w:val="34C8414C"/>
    <w:rsid w:val="3595372D"/>
    <w:rsid w:val="35E70353"/>
    <w:rsid w:val="3624120B"/>
    <w:rsid w:val="36C71CA6"/>
    <w:rsid w:val="37297D19"/>
    <w:rsid w:val="374F5157"/>
    <w:rsid w:val="376053BA"/>
    <w:rsid w:val="38536793"/>
    <w:rsid w:val="3859307F"/>
    <w:rsid w:val="393671C3"/>
    <w:rsid w:val="3A23372B"/>
    <w:rsid w:val="3B4C3A9D"/>
    <w:rsid w:val="3B6A7E88"/>
    <w:rsid w:val="3C2E3481"/>
    <w:rsid w:val="3C3456CE"/>
    <w:rsid w:val="3C36029B"/>
    <w:rsid w:val="3C3C25ED"/>
    <w:rsid w:val="3C8A2F16"/>
    <w:rsid w:val="3D2919C5"/>
    <w:rsid w:val="3D317FC4"/>
    <w:rsid w:val="3D710DDB"/>
    <w:rsid w:val="3EB13B7C"/>
    <w:rsid w:val="3EC86456"/>
    <w:rsid w:val="3EE47324"/>
    <w:rsid w:val="3EF736BF"/>
    <w:rsid w:val="3F790F22"/>
    <w:rsid w:val="40176D19"/>
    <w:rsid w:val="406160D8"/>
    <w:rsid w:val="4076478E"/>
    <w:rsid w:val="409F7D44"/>
    <w:rsid w:val="41495425"/>
    <w:rsid w:val="416D1BF0"/>
    <w:rsid w:val="426433D6"/>
    <w:rsid w:val="43C86D34"/>
    <w:rsid w:val="45E5444B"/>
    <w:rsid w:val="46D03F55"/>
    <w:rsid w:val="471C0069"/>
    <w:rsid w:val="47AA2F40"/>
    <w:rsid w:val="480361CD"/>
    <w:rsid w:val="482E4B86"/>
    <w:rsid w:val="487517C3"/>
    <w:rsid w:val="49D12AC4"/>
    <w:rsid w:val="4A53673D"/>
    <w:rsid w:val="4AE841B9"/>
    <w:rsid w:val="4BCE31F7"/>
    <w:rsid w:val="4C3520DE"/>
    <w:rsid w:val="4CBE1552"/>
    <w:rsid w:val="4CD6761C"/>
    <w:rsid w:val="4D0F285D"/>
    <w:rsid w:val="4D642C69"/>
    <w:rsid w:val="4D6C4C3E"/>
    <w:rsid w:val="4D9D2D9C"/>
    <w:rsid w:val="4E931A6B"/>
    <w:rsid w:val="4ECD2CD1"/>
    <w:rsid w:val="4F376927"/>
    <w:rsid w:val="508779E9"/>
    <w:rsid w:val="50D34FCB"/>
    <w:rsid w:val="52614EF7"/>
    <w:rsid w:val="52CF66C6"/>
    <w:rsid w:val="52FB705C"/>
    <w:rsid w:val="531B2AA2"/>
    <w:rsid w:val="539F711F"/>
    <w:rsid w:val="54193FB6"/>
    <w:rsid w:val="54307C4B"/>
    <w:rsid w:val="54F56B4F"/>
    <w:rsid w:val="54FB0DC4"/>
    <w:rsid w:val="558275C0"/>
    <w:rsid w:val="55EE10FA"/>
    <w:rsid w:val="56144103"/>
    <w:rsid w:val="56190609"/>
    <w:rsid w:val="564D711F"/>
    <w:rsid w:val="565E56EC"/>
    <w:rsid w:val="56EE7A28"/>
    <w:rsid w:val="57B7405E"/>
    <w:rsid w:val="586137C0"/>
    <w:rsid w:val="586A7A27"/>
    <w:rsid w:val="588220A9"/>
    <w:rsid w:val="594329AA"/>
    <w:rsid w:val="5A015A3F"/>
    <w:rsid w:val="5A49023A"/>
    <w:rsid w:val="5B1B18AC"/>
    <w:rsid w:val="5B3C04CB"/>
    <w:rsid w:val="5BC72CC3"/>
    <w:rsid w:val="5BCD4F2E"/>
    <w:rsid w:val="5CA076FA"/>
    <w:rsid w:val="5CDC18FA"/>
    <w:rsid w:val="5D4A3B53"/>
    <w:rsid w:val="5DF31BFB"/>
    <w:rsid w:val="5E992DA1"/>
    <w:rsid w:val="5EDD2754"/>
    <w:rsid w:val="5EDF75DC"/>
    <w:rsid w:val="5F1F3CEA"/>
    <w:rsid w:val="5F3A6681"/>
    <w:rsid w:val="5F6B2648"/>
    <w:rsid w:val="601914FC"/>
    <w:rsid w:val="60EC092C"/>
    <w:rsid w:val="618A2654"/>
    <w:rsid w:val="61C133F8"/>
    <w:rsid w:val="61C5551D"/>
    <w:rsid w:val="61CF18A3"/>
    <w:rsid w:val="628B5ECC"/>
    <w:rsid w:val="63F23799"/>
    <w:rsid w:val="63F74FF2"/>
    <w:rsid w:val="64434846"/>
    <w:rsid w:val="64726987"/>
    <w:rsid w:val="64AF39A5"/>
    <w:rsid w:val="64C50158"/>
    <w:rsid w:val="64CB0203"/>
    <w:rsid w:val="64D816C0"/>
    <w:rsid w:val="651C4271"/>
    <w:rsid w:val="65650331"/>
    <w:rsid w:val="65C523F0"/>
    <w:rsid w:val="663265E9"/>
    <w:rsid w:val="679A74FB"/>
    <w:rsid w:val="683939F8"/>
    <w:rsid w:val="68EC59C9"/>
    <w:rsid w:val="68F428C7"/>
    <w:rsid w:val="69035FC3"/>
    <w:rsid w:val="694965AB"/>
    <w:rsid w:val="69787200"/>
    <w:rsid w:val="697F58E7"/>
    <w:rsid w:val="6AB05D26"/>
    <w:rsid w:val="6AB5199A"/>
    <w:rsid w:val="6BC86936"/>
    <w:rsid w:val="6C2E65ED"/>
    <w:rsid w:val="6C5C664E"/>
    <w:rsid w:val="6CB10733"/>
    <w:rsid w:val="6CFB001B"/>
    <w:rsid w:val="6D3F5E7A"/>
    <w:rsid w:val="6D6A33E6"/>
    <w:rsid w:val="6D6E1218"/>
    <w:rsid w:val="6D9815B9"/>
    <w:rsid w:val="6DB02786"/>
    <w:rsid w:val="6E625D89"/>
    <w:rsid w:val="6E832897"/>
    <w:rsid w:val="6E8E394F"/>
    <w:rsid w:val="6F117626"/>
    <w:rsid w:val="6F546419"/>
    <w:rsid w:val="6F8D30F0"/>
    <w:rsid w:val="6F8F4C15"/>
    <w:rsid w:val="6FEB0909"/>
    <w:rsid w:val="712D0961"/>
    <w:rsid w:val="712F3172"/>
    <w:rsid w:val="717373DF"/>
    <w:rsid w:val="7177115B"/>
    <w:rsid w:val="71BB1881"/>
    <w:rsid w:val="71E6297B"/>
    <w:rsid w:val="71ED0060"/>
    <w:rsid w:val="72000067"/>
    <w:rsid w:val="721237AA"/>
    <w:rsid w:val="726047E8"/>
    <w:rsid w:val="726E11A1"/>
    <w:rsid w:val="72772E18"/>
    <w:rsid w:val="73662B71"/>
    <w:rsid w:val="73AB1CF8"/>
    <w:rsid w:val="744D69F0"/>
    <w:rsid w:val="745A174E"/>
    <w:rsid w:val="74807A62"/>
    <w:rsid w:val="74AF760E"/>
    <w:rsid w:val="75461F61"/>
    <w:rsid w:val="755235A7"/>
    <w:rsid w:val="758D2D3A"/>
    <w:rsid w:val="75911E94"/>
    <w:rsid w:val="75E63956"/>
    <w:rsid w:val="75F81370"/>
    <w:rsid w:val="76755376"/>
    <w:rsid w:val="769C4AD4"/>
    <w:rsid w:val="76AC3DB6"/>
    <w:rsid w:val="779467DB"/>
    <w:rsid w:val="77AD276B"/>
    <w:rsid w:val="79460C59"/>
    <w:rsid w:val="7A445047"/>
    <w:rsid w:val="7A746285"/>
    <w:rsid w:val="7A8B705A"/>
    <w:rsid w:val="7A986E78"/>
    <w:rsid w:val="7ADF7479"/>
    <w:rsid w:val="7B2E0DBF"/>
    <w:rsid w:val="7B761409"/>
    <w:rsid w:val="7C0C4F05"/>
    <w:rsid w:val="7C324FED"/>
    <w:rsid w:val="7C8B00CE"/>
    <w:rsid w:val="7D1C77D1"/>
    <w:rsid w:val="7D7E702C"/>
    <w:rsid w:val="7D9B7D88"/>
    <w:rsid w:val="7F9164CE"/>
    <w:rsid w:val="7FC960A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nhideWhenUsed="0" w:uiPriority="99" w:name="annotation text"/>
    <w:lsdException w:unhideWhenUsed="0" w:uiPriority="99" w:semiHidden="0" w:name="header"/>
    <w:lsdException w:unhideWhenUsed="0" w:uiPriority="99" w:semiHidden="0" w:name="footer"/>
    <w:lsdException w:uiPriority="99" w:name="index heading" w:locked="1"/>
    <w:lsdException w:qFormat="1" w:unhideWhenUsed="0" w:uiPriority="99" w:semiHidden="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nhideWhenUsed="0" w:uiPriority="99" w:name="Default Paragraph Font"/>
    <w:lsdException w:unhideWhenUsed="0" w:uiPriority="99" w:semiHidden="0" w:name="Body Text"/>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qFormat="1" w:uiPriority="99" w:semiHidden="0"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qFormat="1" w:unhideWhenUsed="0" w:uiPriority="0" w:semiHidden="0" w:name="Plain Text" w:locked="1"/>
    <w:lsdException w:uiPriority="99" w:name="E-mail Signature" w:locked="1"/>
    <w:lsdException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semiHidden="0" w:name="Normal Table"/>
    <w:lsdException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nhideWhenUsed="0" w:uiPriority="99" w:name="Balloon Text"/>
    <w:lsdException w:qFormat="1" w:unhideWhenUsed="0" w:uiPriority="99" w:semiHidden="0" w:name="Table Grid"/>
    <w:lsdException w:uiPriority="99" w:name="Table Theme" w:locked="1"/>
    <w:lsdException w:qFormat="1" w:unhideWhenUsed="0" w:uiPriority="99" w:name="Placeholder Text"/>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964" w:firstLineChars="200"/>
      <w:jc w:val="both"/>
    </w:pPr>
    <w:rPr>
      <w:rFonts w:ascii="Calibri" w:hAnsi="Calibri" w:eastAsia="仿宋-GB2312" w:cs="Times New Roman"/>
      <w:kern w:val="2"/>
      <w:sz w:val="32"/>
      <w:szCs w:val="22"/>
      <w:lang w:val="en-US" w:eastAsia="zh-CN" w:bidi="ar-SA"/>
    </w:rPr>
  </w:style>
  <w:style w:type="paragraph" w:styleId="3">
    <w:name w:val="heading 1"/>
    <w:basedOn w:val="1"/>
    <w:next w:val="1"/>
    <w:link w:val="34"/>
    <w:qFormat/>
    <w:uiPriority w:val="99"/>
    <w:pPr>
      <w:keepNext/>
      <w:keepLines/>
      <w:spacing w:before="340" w:after="330" w:line="578" w:lineRule="auto"/>
      <w:outlineLvl w:val="0"/>
    </w:pPr>
    <w:rPr>
      <w:rFonts w:eastAsia="黑体"/>
      <w:b/>
      <w:bCs/>
      <w:kern w:val="44"/>
      <w:sz w:val="32"/>
      <w:szCs w:val="44"/>
    </w:rPr>
  </w:style>
  <w:style w:type="paragraph" w:styleId="4">
    <w:name w:val="heading 2"/>
    <w:basedOn w:val="1"/>
    <w:next w:val="1"/>
    <w:link w:val="35"/>
    <w:qFormat/>
    <w:uiPriority w:val="99"/>
    <w:pPr>
      <w:keepNext/>
      <w:spacing w:beforeLines="50" w:afterLines="50" w:line="360" w:lineRule="auto"/>
      <w:outlineLvl w:val="1"/>
    </w:pPr>
    <w:rPr>
      <w:rFonts w:ascii="Times New Roman" w:hAnsi="Times New Roman"/>
      <w:b/>
      <w:sz w:val="32"/>
      <w:szCs w:val="20"/>
    </w:rPr>
  </w:style>
  <w:style w:type="paragraph" w:styleId="5">
    <w:name w:val="heading 3"/>
    <w:basedOn w:val="1"/>
    <w:next w:val="1"/>
    <w:link w:val="36"/>
    <w:qFormat/>
    <w:uiPriority w:val="99"/>
    <w:pPr>
      <w:keepNext/>
      <w:keepLines/>
      <w:spacing w:beforeLines="50" w:afterLines="50" w:line="360" w:lineRule="auto"/>
      <w:outlineLvl w:val="2"/>
    </w:pPr>
    <w:rPr>
      <w:rFonts w:ascii="Times New Roman" w:hAnsi="Times New Roman"/>
      <w:b/>
      <w:sz w:val="24"/>
      <w:szCs w:val="20"/>
    </w:rPr>
  </w:style>
  <w:style w:type="paragraph" w:styleId="6">
    <w:name w:val="heading 4"/>
    <w:basedOn w:val="1"/>
    <w:next w:val="1"/>
    <w:link w:val="37"/>
    <w:qFormat/>
    <w:uiPriority w:val="99"/>
    <w:pPr>
      <w:keepNext/>
      <w:keepLines/>
      <w:spacing w:before="280" w:after="290" w:line="376" w:lineRule="auto"/>
      <w:outlineLvl w:val="3"/>
    </w:pPr>
    <w:rPr>
      <w:rFonts w:ascii="Calibri Light" w:hAnsi="Calibri Light"/>
      <w:b/>
      <w:bCs/>
      <w:sz w:val="32"/>
      <w:szCs w:val="28"/>
    </w:rPr>
  </w:style>
  <w:style w:type="paragraph" w:styleId="7">
    <w:name w:val="heading 5"/>
    <w:basedOn w:val="1"/>
    <w:next w:val="1"/>
    <w:link w:val="38"/>
    <w:qFormat/>
    <w:uiPriority w:val="99"/>
    <w:pPr>
      <w:keepNext/>
      <w:keepLines/>
      <w:spacing w:before="280" w:after="290" w:line="376" w:lineRule="auto"/>
      <w:outlineLvl w:val="4"/>
    </w:pPr>
    <w:rPr>
      <w:b/>
      <w:bCs/>
      <w:sz w:val="28"/>
      <w:szCs w:val="28"/>
    </w:rPr>
  </w:style>
  <w:style w:type="character" w:default="1" w:styleId="20">
    <w:name w:val="Default Paragraph Font"/>
    <w:semiHidden/>
    <w:uiPriority w:val="99"/>
  </w:style>
  <w:style w:type="table" w:default="1" w:styleId="18">
    <w:name w:val="Normal Table"/>
    <w:unhideWhenUsed/>
    <w:qFormat/>
    <w:uiPriority w:val="99"/>
    <w:tblPr>
      <w:tblStyle w:val="18"/>
      <w:tblCellMar>
        <w:top w:w="0" w:type="dxa"/>
        <w:left w:w="108" w:type="dxa"/>
        <w:bottom w:w="0" w:type="dxa"/>
        <w:right w:w="108" w:type="dxa"/>
      </w:tblCellMar>
    </w:tblPr>
  </w:style>
  <w:style w:type="paragraph" w:customStyle="1" w:styleId="2">
    <w:name w:val="正文+缩进"/>
    <w:basedOn w:val="1"/>
    <w:qFormat/>
    <w:uiPriority w:val="0"/>
    <w:pPr>
      <w:ind w:firstLine="200" w:firstLineChars="200"/>
    </w:pPr>
  </w:style>
  <w:style w:type="paragraph" w:styleId="8">
    <w:name w:val="caption"/>
    <w:basedOn w:val="1"/>
    <w:next w:val="1"/>
    <w:qFormat/>
    <w:uiPriority w:val="99"/>
    <w:rPr>
      <w:rFonts w:ascii="Calibri Light" w:hAnsi="Calibri Light" w:eastAsia="黑体"/>
      <w:sz w:val="20"/>
      <w:szCs w:val="20"/>
    </w:rPr>
  </w:style>
  <w:style w:type="paragraph" w:styleId="9">
    <w:name w:val="annotation text"/>
    <w:basedOn w:val="1"/>
    <w:link w:val="39"/>
    <w:semiHidden/>
    <w:uiPriority w:val="99"/>
    <w:pPr>
      <w:jc w:val="left"/>
    </w:pPr>
  </w:style>
  <w:style w:type="paragraph" w:styleId="10">
    <w:name w:val="Body Text"/>
    <w:basedOn w:val="1"/>
    <w:link w:val="40"/>
    <w:uiPriority w:val="99"/>
    <w:pPr>
      <w:spacing w:after="120"/>
    </w:pPr>
    <w:rPr>
      <w:rFonts w:ascii="宋体" w:hAnsi="宋体"/>
      <w:kern w:val="0"/>
      <w:sz w:val="28"/>
      <w:szCs w:val="28"/>
    </w:rPr>
  </w:style>
  <w:style w:type="paragraph" w:styleId="11">
    <w:name w:val="Plain Text"/>
    <w:basedOn w:val="1"/>
    <w:next w:val="12"/>
    <w:qFormat/>
    <w:locked/>
    <w:uiPriority w:val="0"/>
    <w:rPr>
      <w:rFonts w:ascii="宋体" w:hAnsi="Courier New" w:cs="Times New Roman"/>
    </w:rPr>
  </w:style>
  <w:style w:type="paragraph" w:styleId="12">
    <w:name w:val="Date"/>
    <w:basedOn w:val="1"/>
    <w:next w:val="1"/>
    <w:unhideWhenUsed/>
    <w:qFormat/>
    <w:locked/>
    <w:uiPriority w:val="99"/>
    <w:pPr>
      <w:ind w:left="100" w:leftChars="2500"/>
    </w:pPr>
  </w:style>
  <w:style w:type="paragraph" w:styleId="13">
    <w:name w:val="Balloon Text"/>
    <w:basedOn w:val="1"/>
    <w:link w:val="41"/>
    <w:semiHidden/>
    <w:uiPriority w:val="99"/>
    <w:rPr>
      <w:sz w:val="18"/>
      <w:szCs w:val="18"/>
    </w:rPr>
  </w:style>
  <w:style w:type="paragraph" w:styleId="14">
    <w:name w:val="footer"/>
    <w:basedOn w:val="1"/>
    <w:link w:val="42"/>
    <w:uiPriority w:val="99"/>
    <w:pPr>
      <w:tabs>
        <w:tab w:val="center" w:pos="4153"/>
        <w:tab w:val="right" w:pos="8306"/>
      </w:tabs>
      <w:snapToGrid w:val="0"/>
      <w:jc w:val="left"/>
    </w:pPr>
    <w:rPr>
      <w:sz w:val="18"/>
      <w:szCs w:val="18"/>
    </w:rPr>
  </w:style>
  <w:style w:type="paragraph" w:styleId="15">
    <w:name w:val="header"/>
    <w:basedOn w:val="1"/>
    <w:link w:val="43"/>
    <w:uiPriority w:val="99"/>
    <w:pPr>
      <w:pBdr>
        <w:bottom w:val="single" w:color="auto" w:sz="6" w:space="1"/>
      </w:pBdr>
      <w:tabs>
        <w:tab w:val="center" w:pos="4153"/>
        <w:tab w:val="right" w:pos="8306"/>
      </w:tabs>
      <w:snapToGrid w:val="0"/>
      <w:jc w:val="center"/>
    </w:pPr>
    <w:rPr>
      <w:sz w:val="18"/>
      <w:szCs w:val="18"/>
    </w:rPr>
  </w:style>
  <w:style w:type="paragraph" w:styleId="16">
    <w:name w:val="Normal (Web)"/>
    <w:basedOn w:val="1"/>
    <w:uiPriority w:val="99"/>
    <w:pPr>
      <w:widowControl/>
      <w:spacing w:beforeAutospacing="1" w:afterAutospacing="1"/>
      <w:jc w:val="left"/>
    </w:pPr>
    <w:rPr>
      <w:kern w:val="0"/>
      <w:sz w:val="24"/>
      <w:szCs w:val="24"/>
    </w:rPr>
  </w:style>
  <w:style w:type="paragraph" w:styleId="17">
    <w:name w:val="annotation subject"/>
    <w:basedOn w:val="9"/>
    <w:next w:val="9"/>
    <w:link w:val="44"/>
    <w:semiHidden/>
    <w:uiPriority w:val="99"/>
    <w:rPr>
      <w:b/>
      <w:bCs/>
    </w:rPr>
  </w:style>
  <w:style w:type="table" w:styleId="19">
    <w:name w:val="Table Grid"/>
    <w:basedOn w:val="18"/>
    <w:qFormat/>
    <w:uiPriority w:val="99"/>
    <w:rPr>
      <w:rFonts w:ascii="Calibri" w:hAnsi="Calibri"/>
      <w:kern w:val="0"/>
      <w:sz w:val="20"/>
      <w:szCs w:val="20"/>
    </w:rPr>
    <w:tblPr>
      <w:tblStyle w:val="18"/>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1">
    <w:name w:val="Strong"/>
    <w:basedOn w:val="20"/>
    <w:qFormat/>
    <w:uiPriority w:val="0"/>
    <w:rPr>
      <w:b/>
    </w:rPr>
  </w:style>
  <w:style w:type="character" w:styleId="22">
    <w:name w:val="Hyperlink"/>
    <w:basedOn w:val="20"/>
    <w:qFormat/>
    <w:uiPriority w:val="99"/>
    <w:rPr>
      <w:rFonts w:cs="Times New Roman"/>
      <w:color w:val="0563C1"/>
      <w:u w:val="single"/>
    </w:rPr>
  </w:style>
  <w:style w:type="paragraph" w:customStyle="1" w:styleId="23">
    <w:name w:val="表名"/>
    <w:basedOn w:val="1"/>
    <w:link w:val="48"/>
    <w:qFormat/>
    <w:uiPriority w:val="99"/>
    <w:pPr>
      <w:numPr>
        <w:ilvl w:val="0"/>
        <w:numId w:val="1"/>
      </w:numPr>
      <w:spacing w:line="360" w:lineRule="auto"/>
      <w:jc w:val="center"/>
    </w:pPr>
    <w:rPr>
      <w:rFonts w:ascii="Times New Roman" w:hAnsi="Times New Roman" w:eastAsia="楷体"/>
      <w:kern w:val="0"/>
      <w:sz w:val="20"/>
      <w:szCs w:val="20"/>
    </w:rPr>
  </w:style>
  <w:style w:type="paragraph" w:styleId="24">
    <w:name w:val="List Paragraph"/>
    <w:basedOn w:val="1"/>
    <w:link w:val="50"/>
    <w:qFormat/>
    <w:uiPriority w:val="99"/>
    <w:pPr>
      <w:ind w:firstLine="420" w:firstLineChars="200"/>
    </w:pPr>
    <w:rPr>
      <w:sz w:val="22"/>
      <w:szCs w:val="20"/>
    </w:rPr>
  </w:style>
  <w:style w:type="paragraph" w:customStyle="1" w:styleId="25">
    <w:name w:val="Body text|1"/>
    <w:basedOn w:val="1"/>
    <w:qFormat/>
    <w:uiPriority w:val="0"/>
    <w:pPr>
      <w:widowControl w:val="0"/>
      <w:shd w:val="clear" w:color="auto" w:fill="auto"/>
      <w:spacing w:line="430" w:lineRule="auto"/>
      <w:ind w:firstLine="400"/>
    </w:pPr>
    <w:rPr>
      <w:rFonts w:ascii="宋体" w:hAnsi="宋体" w:eastAsia="宋体" w:cs="宋体"/>
      <w:color w:val="323232"/>
      <w:sz w:val="28"/>
      <w:szCs w:val="28"/>
      <w:u w:val="none"/>
      <w:shd w:val="clear" w:color="auto" w:fill="auto"/>
      <w:lang w:val="zh-TW" w:eastAsia="zh-TW" w:bidi="zh-TW"/>
    </w:rPr>
  </w:style>
  <w:style w:type="paragraph" w:customStyle="1" w:styleId="26">
    <w:name w:val="Default"/>
    <w:basedOn w:val="1"/>
    <w:uiPriority w:val="99"/>
    <w:pPr>
      <w:autoSpaceDE w:val="0"/>
      <w:autoSpaceDN w:val="0"/>
      <w:adjustRightInd w:val="0"/>
      <w:jc w:val="left"/>
    </w:pPr>
    <w:rPr>
      <w:rFonts w:ascii="宋体"/>
      <w:color w:val="000000"/>
      <w:kern w:val="0"/>
      <w:sz w:val="24"/>
      <w:szCs w:val="24"/>
    </w:rPr>
  </w:style>
  <w:style w:type="paragraph" w:customStyle="1" w:styleId="27">
    <w:name w:val="1120表中首行"/>
    <w:basedOn w:val="1"/>
    <w:qFormat/>
    <w:uiPriority w:val="0"/>
    <w:pPr>
      <w:widowControl/>
      <w:ind w:firstLine="0" w:firstLineChars="0"/>
      <w:jc w:val="center"/>
    </w:pPr>
    <w:rPr>
      <w:rFonts w:eastAsia="黑体" w:cs="Times New Roman"/>
      <w:b/>
      <w:kern w:val="0"/>
      <w:sz w:val="21"/>
    </w:rPr>
  </w:style>
  <w:style w:type="paragraph" w:styleId="28">
    <w:name w:val="No Spacing"/>
    <w:basedOn w:val="1"/>
    <w:qFormat/>
    <w:uiPriority w:val="99"/>
    <w:pPr>
      <w:widowControl/>
    </w:pPr>
    <w:rPr>
      <w:rFonts w:ascii="Cambria" w:hAnsi="Cambria"/>
      <w:kern w:val="0"/>
      <w:sz w:val="22"/>
    </w:rPr>
  </w:style>
  <w:style w:type="paragraph" w:customStyle="1" w:styleId="29">
    <w:name w:val="_Style 2"/>
    <w:basedOn w:val="1"/>
    <w:qFormat/>
    <w:uiPriority w:val="99"/>
    <w:pPr>
      <w:ind w:firstLine="420" w:firstLineChars="200"/>
    </w:pPr>
    <w:rPr>
      <w:sz w:val="22"/>
      <w:szCs w:val="20"/>
    </w:rPr>
  </w:style>
  <w:style w:type="paragraph" w:customStyle="1" w:styleId="30">
    <w:name w:val="正文缩进2"/>
    <w:basedOn w:val="1"/>
    <w:qFormat/>
    <w:uiPriority w:val="0"/>
    <w:pPr>
      <w:ind w:firstLine="1044" w:firstLineChars="200"/>
    </w:pPr>
  </w:style>
  <w:style w:type="paragraph" w:customStyle="1" w:styleId="31">
    <w:name w:val="_Style 1"/>
    <w:basedOn w:val="1"/>
    <w:qFormat/>
    <w:uiPriority w:val="99"/>
    <w:pPr>
      <w:widowControl/>
      <w:spacing w:after="160" w:line="240" w:lineRule="exact"/>
      <w:jc w:val="left"/>
    </w:pPr>
    <w:rPr>
      <w:rFonts w:ascii="Times New Roman" w:hAnsi="Times New Roman"/>
      <w:szCs w:val="20"/>
    </w:rPr>
  </w:style>
  <w:style w:type="paragraph" w:customStyle="1" w:styleId="32">
    <w:name w:val="1120表中内容"/>
    <w:basedOn w:val="1"/>
    <w:qFormat/>
    <w:uiPriority w:val="0"/>
    <w:pPr>
      <w:widowControl/>
      <w:spacing w:line="300" w:lineRule="auto"/>
      <w:ind w:firstLine="0" w:firstLineChars="0"/>
      <w:jc w:val="center"/>
    </w:pPr>
    <w:rPr>
      <w:rFonts w:cs="Times New Roman"/>
      <w:sz w:val="21"/>
      <w:szCs w:val="21"/>
    </w:rPr>
  </w:style>
  <w:style w:type="paragraph" w:customStyle="1" w:styleId="33">
    <w:name w:val="正文表格"/>
    <w:basedOn w:val="1"/>
    <w:qFormat/>
    <w:uiPriority w:val="99"/>
    <w:pPr>
      <w:adjustRightInd w:val="0"/>
      <w:snapToGrid w:val="0"/>
      <w:spacing w:line="288" w:lineRule="auto"/>
      <w:ind w:firstLine="0" w:firstLineChars="0"/>
      <w:jc w:val="center"/>
    </w:pPr>
    <w:rPr>
      <w:rFonts w:ascii="宋体" w:hAnsi="宋体"/>
      <w:sz w:val="24"/>
      <w:szCs w:val="21"/>
    </w:rPr>
  </w:style>
  <w:style w:type="character" w:customStyle="1" w:styleId="34">
    <w:name w:val="Heading 1 Char"/>
    <w:basedOn w:val="20"/>
    <w:link w:val="3"/>
    <w:locked/>
    <w:uiPriority w:val="99"/>
    <w:rPr>
      <w:rFonts w:eastAsia="黑体" w:cs="Times New Roman"/>
      <w:b/>
      <w:bCs/>
      <w:kern w:val="44"/>
      <w:sz w:val="44"/>
      <w:szCs w:val="44"/>
    </w:rPr>
  </w:style>
  <w:style w:type="character" w:customStyle="1" w:styleId="35">
    <w:name w:val="Heading 2 Char"/>
    <w:basedOn w:val="20"/>
    <w:link w:val="4"/>
    <w:locked/>
    <w:uiPriority w:val="99"/>
    <w:rPr>
      <w:rFonts w:ascii="Times New Roman" w:hAnsi="Times New Roman" w:eastAsia="宋体" w:cs="Times New Roman"/>
      <w:b/>
      <w:sz w:val="20"/>
      <w:szCs w:val="20"/>
    </w:rPr>
  </w:style>
  <w:style w:type="character" w:customStyle="1" w:styleId="36">
    <w:name w:val="Heading 3 Char"/>
    <w:basedOn w:val="20"/>
    <w:link w:val="5"/>
    <w:locked/>
    <w:uiPriority w:val="99"/>
    <w:rPr>
      <w:rFonts w:ascii="Times New Roman" w:hAnsi="Times New Roman" w:eastAsia="宋体" w:cs="Times New Roman"/>
      <w:b/>
      <w:sz w:val="20"/>
      <w:szCs w:val="20"/>
    </w:rPr>
  </w:style>
  <w:style w:type="character" w:customStyle="1" w:styleId="37">
    <w:name w:val="Heading 4 Char"/>
    <w:basedOn w:val="20"/>
    <w:link w:val="6"/>
    <w:locked/>
    <w:uiPriority w:val="99"/>
    <w:rPr>
      <w:rFonts w:ascii="Calibri Light" w:hAnsi="Calibri Light" w:eastAsia="宋体" w:cs="Times New Roman"/>
      <w:b/>
      <w:bCs/>
      <w:sz w:val="28"/>
      <w:szCs w:val="28"/>
    </w:rPr>
  </w:style>
  <w:style w:type="character" w:customStyle="1" w:styleId="38">
    <w:name w:val="Heading 5 Char"/>
    <w:basedOn w:val="20"/>
    <w:link w:val="7"/>
    <w:semiHidden/>
    <w:locked/>
    <w:uiPriority w:val="99"/>
    <w:rPr>
      <w:rFonts w:cs="Times New Roman"/>
      <w:b/>
      <w:bCs/>
      <w:sz w:val="28"/>
      <w:szCs w:val="28"/>
    </w:rPr>
  </w:style>
  <w:style w:type="character" w:customStyle="1" w:styleId="39">
    <w:name w:val="Comment Text Char"/>
    <w:basedOn w:val="20"/>
    <w:link w:val="9"/>
    <w:semiHidden/>
    <w:locked/>
    <w:uiPriority w:val="99"/>
    <w:rPr>
      <w:rFonts w:ascii="Calibri" w:hAnsi="Calibri" w:eastAsia="宋体" w:cs="Times New Roman"/>
      <w:kern w:val="2"/>
      <w:sz w:val="22"/>
      <w:szCs w:val="22"/>
    </w:rPr>
  </w:style>
  <w:style w:type="character" w:customStyle="1" w:styleId="40">
    <w:name w:val="Body Text Char"/>
    <w:basedOn w:val="20"/>
    <w:link w:val="10"/>
    <w:locked/>
    <w:uiPriority w:val="99"/>
    <w:rPr>
      <w:rFonts w:ascii="宋体" w:hAnsi="宋体" w:eastAsia="宋体" w:cs="Times New Roman"/>
      <w:kern w:val="0"/>
      <w:sz w:val="28"/>
      <w:szCs w:val="28"/>
    </w:rPr>
  </w:style>
  <w:style w:type="character" w:customStyle="1" w:styleId="41">
    <w:name w:val="Balloon Text Char"/>
    <w:basedOn w:val="20"/>
    <w:link w:val="13"/>
    <w:semiHidden/>
    <w:locked/>
    <w:uiPriority w:val="99"/>
    <w:rPr>
      <w:rFonts w:cs="Times New Roman"/>
      <w:sz w:val="18"/>
      <w:szCs w:val="18"/>
    </w:rPr>
  </w:style>
  <w:style w:type="character" w:customStyle="1" w:styleId="42">
    <w:name w:val="Footer Char"/>
    <w:basedOn w:val="20"/>
    <w:link w:val="14"/>
    <w:locked/>
    <w:uiPriority w:val="99"/>
    <w:rPr>
      <w:rFonts w:cs="Times New Roman"/>
      <w:sz w:val="18"/>
      <w:szCs w:val="18"/>
    </w:rPr>
  </w:style>
  <w:style w:type="character" w:customStyle="1" w:styleId="43">
    <w:name w:val="Header Char"/>
    <w:basedOn w:val="20"/>
    <w:link w:val="15"/>
    <w:locked/>
    <w:uiPriority w:val="99"/>
    <w:rPr>
      <w:rFonts w:cs="Times New Roman"/>
      <w:sz w:val="18"/>
      <w:szCs w:val="18"/>
    </w:rPr>
  </w:style>
  <w:style w:type="character" w:customStyle="1" w:styleId="44">
    <w:name w:val="Comment Subject Char"/>
    <w:basedOn w:val="39"/>
    <w:link w:val="17"/>
    <w:semiHidden/>
    <w:qFormat/>
    <w:locked/>
    <w:uiPriority w:val="99"/>
    <w:rPr>
      <w:b/>
      <w:bCs/>
    </w:rPr>
  </w:style>
  <w:style w:type="character" w:customStyle="1" w:styleId="45">
    <w:name w:val="页脚 Char1"/>
    <w:qFormat/>
    <w:uiPriority w:val="99"/>
    <w:rPr>
      <w:sz w:val="18"/>
    </w:rPr>
  </w:style>
  <w:style w:type="character" w:customStyle="1" w:styleId="46">
    <w:name w:val="location-four"/>
    <w:basedOn w:val="20"/>
    <w:qFormat/>
    <w:uiPriority w:val="99"/>
    <w:rPr>
      <w:rFonts w:cs="Times New Roman"/>
    </w:rPr>
  </w:style>
  <w:style w:type="character" w:customStyle="1" w:styleId="47">
    <w:name w:val="页眉 Char1"/>
    <w:qFormat/>
    <w:uiPriority w:val="99"/>
    <w:rPr>
      <w:sz w:val="18"/>
    </w:rPr>
  </w:style>
  <w:style w:type="character" w:customStyle="1" w:styleId="48">
    <w:name w:val="表名 Char"/>
    <w:link w:val="23"/>
    <w:qFormat/>
    <w:locked/>
    <w:uiPriority w:val="99"/>
    <w:rPr>
      <w:rFonts w:ascii="Times New Roman" w:hAnsi="Times New Roman" w:eastAsia="楷体"/>
    </w:rPr>
  </w:style>
  <w:style w:type="character" w:styleId="49">
    <w:name w:val="Placeholder Text"/>
    <w:basedOn w:val="20"/>
    <w:semiHidden/>
    <w:qFormat/>
    <w:uiPriority w:val="99"/>
    <w:rPr>
      <w:rFonts w:cs="Times New Roman"/>
      <w:color w:val="808080"/>
    </w:rPr>
  </w:style>
  <w:style w:type="character" w:customStyle="1" w:styleId="50">
    <w:name w:val="List Paragraph Char"/>
    <w:link w:val="24"/>
    <w:qFormat/>
    <w:locked/>
    <w:uiPriority w:val="99"/>
    <w:rPr>
      <w:rFonts w:ascii="Calibri" w:hAnsi="Calibri" w:eastAsia="宋体"/>
      <w:kern w:val="2"/>
      <w:sz w:val="22"/>
    </w:rPr>
  </w:style>
  <w:style w:type="table" w:customStyle="1" w:styleId="51">
    <w:name w:val="网格型1"/>
    <w:qFormat/>
    <w:uiPriority w:val="99"/>
    <w:rPr>
      <w:rFonts w:ascii="Calibri" w:hAnsi="Calibri"/>
      <w:kern w:val="0"/>
      <w:sz w:val="20"/>
      <w:szCs w:val="20"/>
    </w:rPr>
    <w:tblPr>
      <w:tblStyle w:val="18"/>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12</Pages>
  <Words>4412</Words>
  <Characters>4594</Characters>
  <Lines>0</Lines>
  <Paragraphs>0</Paragraphs>
  <TotalTime>127</TotalTime>
  <ScaleCrop>false</ScaleCrop>
  <LinksUpToDate>false</LinksUpToDate>
  <CharactersWithSpaces>4605</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2019-04-22T07:44:00Z</dcterms:created>
  <dc:creator>zjtoprs</dc:creator>
  <cp:lastModifiedBy>婺城分局</cp:lastModifiedBy>
  <cp:lastPrinted>2023-09-04T09:17:07Z</cp:lastPrinted>
  <dcterms:modified xsi:type="dcterms:W3CDTF">2023-10-05T10:03:51Z</dcterms:modified>
  <cp:revision>200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y fmtid="{D5CDD505-2E9C-101B-9397-08002B2CF9AE}" pid="3" name="ICV">
    <vt:lpwstr>8F8176864B8B476484CFA9A220157126</vt:lpwstr>
  </property>
</Properties>
</file>